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F54BF6B" w14:textId="398F66DE" w:rsidR="000E1E2B" w:rsidRPr="00226C5A"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B208CD">
        <w:rPr>
          <w:rFonts w:ascii="Arial" w:hAnsi="Arial" w:cs="Arial"/>
          <w:b/>
          <w:bCs/>
          <w:sz w:val="28"/>
          <w:lang w:eastAsia="zh-CN"/>
        </w:rPr>
        <w:t>4</w:t>
      </w:r>
      <w:r w:rsidR="00A60C59">
        <w:rPr>
          <w:rFonts w:ascii="Arial" w:hAnsi="Arial" w:cs="Arial"/>
          <w:b/>
          <w:bCs/>
          <w:sz w:val="28"/>
          <w:lang w:eastAsia="zh-CN"/>
        </w:rPr>
        <w:t>b</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944A94" w:rsidRPr="00226C5A">
        <w:rPr>
          <w:rFonts w:ascii="Arial" w:hAnsi="Arial" w:cs="Arial"/>
          <w:b/>
          <w:bCs/>
          <w:sz w:val="28"/>
          <w:lang w:eastAsia="zh-CN"/>
        </w:rPr>
        <w:t>R1-21</w:t>
      </w:r>
      <w:r w:rsidR="00CB518C">
        <w:rPr>
          <w:rFonts w:ascii="Arial" w:hAnsi="Arial" w:cs="Arial"/>
          <w:b/>
          <w:bCs/>
          <w:sz w:val="28"/>
          <w:lang w:eastAsia="zh-CN"/>
        </w:rPr>
        <w:t>0</w:t>
      </w:r>
      <w:r w:rsidR="00487264" w:rsidRPr="00226C5A">
        <w:rPr>
          <w:rFonts w:ascii="Arial" w:hAnsi="Arial" w:cs="Arial"/>
          <w:b/>
          <w:bCs/>
          <w:sz w:val="28"/>
          <w:lang w:eastAsia="zh-CN"/>
        </w:rPr>
        <w:t>2461</w:t>
      </w:r>
    </w:p>
    <w:p w14:paraId="497F113D" w14:textId="55C8EB63" w:rsidR="003C346D" w:rsidRPr="00D168C8" w:rsidRDefault="0093035F" w:rsidP="000E1E2B">
      <w:pPr>
        <w:tabs>
          <w:tab w:val="center" w:pos="4536"/>
          <w:tab w:val="right" w:pos="9072"/>
        </w:tabs>
        <w:rPr>
          <w:rFonts w:ascii="Arial" w:eastAsia="MS Mincho" w:hAnsi="Arial" w:cs="Arial"/>
          <w:b/>
          <w:bCs/>
          <w:sz w:val="28"/>
          <w:lang w:eastAsia="ja-JP"/>
        </w:rPr>
      </w:pPr>
      <w:bookmarkStart w:id="1" w:name="OLE_LINK13"/>
      <w:bookmarkStart w:id="2" w:name="OLE_LINK14"/>
      <w:r w:rsidRPr="00226C5A">
        <w:rPr>
          <w:rFonts w:ascii="Arial" w:eastAsia="MS Mincho" w:hAnsi="Arial" w:cs="Arial"/>
          <w:b/>
          <w:bCs/>
          <w:sz w:val="28"/>
          <w:lang w:eastAsia="ja-JP"/>
        </w:rPr>
        <w:t xml:space="preserve">e-Meeting, </w:t>
      </w:r>
      <w:r w:rsidR="00567816" w:rsidRPr="00226C5A">
        <w:rPr>
          <w:rFonts w:ascii="Arial" w:eastAsia="MS Mincho" w:hAnsi="Arial" w:cs="Arial"/>
          <w:b/>
          <w:bCs/>
          <w:sz w:val="28"/>
          <w:lang w:eastAsia="ja-JP"/>
        </w:rPr>
        <w:t xml:space="preserve"> </w:t>
      </w:r>
      <w:r w:rsidR="009E1225" w:rsidRPr="00226C5A">
        <w:rPr>
          <w:rFonts w:ascii="Arial" w:eastAsia="MS Mincho" w:hAnsi="Arial" w:cs="Arial"/>
          <w:b/>
          <w:bCs/>
          <w:sz w:val="28"/>
          <w:lang w:eastAsia="ja-JP"/>
        </w:rPr>
        <w:t>April</w:t>
      </w:r>
      <w:r w:rsidR="00B208CD" w:rsidRPr="00226C5A">
        <w:rPr>
          <w:rFonts w:ascii="Arial" w:eastAsia="MS Mincho" w:hAnsi="Arial" w:cs="Arial"/>
          <w:b/>
          <w:bCs/>
          <w:sz w:val="28"/>
          <w:lang w:eastAsia="ja-JP"/>
        </w:rPr>
        <w:t xml:space="preserve"> </w:t>
      </w:r>
      <w:r w:rsidR="009E1225" w:rsidRPr="00226C5A">
        <w:rPr>
          <w:rFonts w:ascii="Arial" w:eastAsia="MS Mincho" w:hAnsi="Arial" w:cs="Arial"/>
          <w:b/>
          <w:bCs/>
          <w:sz w:val="28"/>
          <w:lang w:eastAsia="ja-JP"/>
        </w:rPr>
        <w:t>1</w:t>
      </w:r>
      <w:r w:rsidR="00B208CD" w:rsidRPr="00226C5A">
        <w:rPr>
          <w:rFonts w:ascii="Arial" w:eastAsia="MS Mincho" w:hAnsi="Arial" w:cs="Arial"/>
          <w:b/>
          <w:bCs/>
          <w:sz w:val="28"/>
          <w:lang w:eastAsia="ja-JP"/>
        </w:rPr>
        <w:t>2</w:t>
      </w:r>
      <w:r w:rsidR="00B208CD" w:rsidRPr="00226C5A">
        <w:rPr>
          <w:rFonts w:ascii="Arial" w:eastAsia="MS Mincho" w:hAnsi="Arial" w:cs="Arial"/>
          <w:b/>
          <w:bCs/>
          <w:sz w:val="28"/>
          <w:vertAlign w:val="superscript"/>
          <w:lang w:eastAsia="ja-JP"/>
        </w:rPr>
        <w:t>th</w:t>
      </w:r>
      <w:r w:rsidR="00B208CD" w:rsidRPr="00226C5A">
        <w:rPr>
          <w:rFonts w:ascii="Arial" w:eastAsia="MS Mincho" w:hAnsi="Arial" w:cs="Arial"/>
          <w:b/>
          <w:bCs/>
          <w:sz w:val="28"/>
          <w:lang w:eastAsia="ja-JP"/>
        </w:rPr>
        <w:t xml:space="preserve"> – </w:t>
      </w:r>
      <w:r w:rsidR="009E1225" w:rsidRPr="00226C5A">
        <w:rPr>
          <w:rFonts w:ascii="Arial" w:eastAsia="MS Mincho" w:hAnsi="Arial" w:cs="Arial"/>
          <w:b/>
          <w:bCs/>
          <w:sz w:val="28"/>
          <w:lang w:eastAsia="ja-JP"/>
        </w:rPr>
        <w:t>20</w:t>
      </w:r>
      <w:r w:rsidR="00B208CD" w:rsidRPr="00226C5A">
        <w:rPr>
          <w:rFonts w:ascii="Arial" w:eastAsia="MS Mincho" w:hAnsi="Arial" w:cs="Arial"/>
          <w:b/>
          <w:bCs/>
          <w:sz w:val="28"/>
          <w:vertAlign w:val="superscript"/>
          <w:lang w:eastAsia="ja-JP"/>
        </w:rPr>
        <w:t>th</w:t>
      </w:r>
      <w:r w:rsidR="00B208CD" w:rsidRPr="00226C5A">
        <w:rPr>
          <w:rFonts w:ascii="Arial" w:eastAsia="MS Mincho" w:hAnsi="Arial" w:cs="Arial"/>
          <w:b/>
          <w:bCs/>
          <w:sz w:val="28"/>
          <w:lang w:eastAsia="ja-JP"/>
        </w:rPr>
        <w:t>, 2021</w:t>
      </w:r>
    </w:p>
    <w:bookmarkEnd w:id="1"/>
    <w:bookmarkEnd w:id="2"/>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92BC142"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w:t>
      </w:r>
      <w:r w:rsidR="007808C4">
        <w:rPr>
          <w:b/>
        </w:rPr>
        <w:t>6</w:t>
      </w:r>
      <w:r w:rsidR="00184537">
        <w:rPr>
          <w:b/>
        </w:rPr>
        <w:t>.1</w:t>
      </w:r>
      <w:r w:rsidR="00C9521F">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66F4F988" w:rsidR="003C346D" w:rsidRPr="00CF123B" w:rsidRDefault="003C346D" w:rsidP="003C346D">
      <w:pPr>
        <w:spacing w:after="60"/>
        <w:ind w:left="1555" w:hanging="1555"/>
        <w:jc w:val="left"/>
        <w:rPr>
          <w:b/>
          <w:lang w:eastAsia="zh-CN"/>
        </w:rPr>
      </w:pPr>
      <w:r w:rsidRPr="00CF123B">
        <w:rPr>
          <w:b/>
        </w:rPr>
        <w:t>Title:</w:t>
      </w:r>
      <w:r w:rsidRPr="00CF123B">
        <w:rPr>
          <w:b/>
        </w:rPr>
        <w:tab/>
      </w:r>
      <w:r w:rsidR="00E82B99" w:rsidRPr="00E82B99">
        <w:rPr>
          <w:b/>
        </w:rPr>
        <w:t xml:space="preserve">Discussion on </w:t>
      </w:r>
      <w:r w:rsidR="00C9521F">
        <w:rPr>
          <w:b/>
        </w:rPr>
        <w:t>a</w:t>
      </w:r>
      <w:r w:rsidR="00C9521F" w:rsidRPr="00C9521F">
        <w:rPr>
          <w:b/>
        </w:rPr>
        <w:t>spects related to reduced number of Rx branches</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025528E1" w14:textId="6C70D761" w:rsidR="00FE41A3" w:rsidRDefault="00CF28A4" w:rsidP="00FE41A3">
      <w:pPr>
        <w:rPr>
          <w:lang w:eastAsia="zh-CN"/>
        </w:rPr>
      </w:pPr>
      <w:r w:rsidRPr="00ED5DC0">
        <w:rPr>
          <w:lang w:eastAsia="zh-CN"/>
        </w:rPr>
        <w:t xml:space="preserve">New </w:t>
      </w:r>
      <w:r w:rsidR="00573BC5">
        <w:rPr>
          <w:lang w:eastAsia="zh-CN"/>
        </w:rPr>
        <w:t>R</w:t>
      </w:r>
      <w:r w:rsidRPr="00ED5DC0">
        <w:rPr>
          <w:lang w:eastAsia="zh-CN"/>
        </w:rPr>
        <w:t xml:space="preserve">17 RedCap WID was approved in </w:t>
      </w:r>
      <w:r w:rsidRPr="00A811EA">
        <w:rPr>
          <w:lang w:eastAsia="zh-CN"/>
        </w:rPr>
        <w:t>[1]</w:t>
      </w:r>
      <w:r w:rsidR="00573BC5" w:rsidRPr="00A811EA">
        <w:rPr>
          <w:rFonts w:hint="eastAsia"/>
          <w:lang w:eastAsia="zh-CN"/>
        </w:rPr>
        <w:t>,</w:t>
      </w:r>
      <w:r w:rsidR="00573BC5" w:rsidRPr="00573BC5">
        <w:rPr>
          <w:lang w:eastAsia="zh-CN"/>
        </w:rPr>
        <w:t xml:space="preserve"> and the objectives related to the reduced minimum number of Rx branches is updated as follows.</w:t>
      </w:r>
    </w:p>
    <w:tbl>
      <w:tblPr>
        <w:tblStyle w:val="TableGrid"/>
        <w:tblW w:w="0" w:type="auto"/>
        <w:tblLook w:val="04A0" w:firstRow="1" w:lastRow="0" w:firstColumn="1" w:lastColumn="0" w:noHBand="0" w:noVBand="1"/>
      </w:tblPr>
      <w:tblGrid>
        <w:gridCol w:w="9307"/>
      </w:tblGrid>
      <w:tr w:rsidR="00972070" w14:paraId="7529D3A5" w14:textId="77777777" w:rsidTr="00972070">
        <w:tc>
          <w:tcPr>
            <w:tcW w:w="9307" w:type="dxa"/>
          </w:tcPr>
          <w:p w14:paraId="2D8BEED9" w14:textId="77777777" w:rsidR="00ED5DC0" w:rsidRPr="00ED5DC0" w:rsidRDefault="00ED5DC0" w:rsidP="009C7E4F">
            <w:pPr>
              <w:numPr>
                <w:ilvl w:val="1"/>
                <w:numId w:val="19"/>
              </w:numPr>
              <w:overflowPunct w:val="0"/>
              <w:autoSpaceDE/>
              <w:autoSpaceDN/>
              <w:adjustRightInd/>
              <w:snapToGrid/>
              <w:spacing w:after="180"/>
              <w:ind w:left="1440"/>
              <w:jc w:val="left"/>
              <w:textAlignment w:val="baseline"/>
              <w:rPr>
                <w:rFonts w:eastAsia="MS Mincho"/>
                <w:b/>
                <w:iCs/>
                <w:sz w:val="20"/>
                <w:szCs w:val="20"/>
              </w:rPr>
            </w:pPr>
            <w:r w:rsidRPr="00ED5DC0">
              <w:rPr>
                <w:rFonts w:eastAsia="MS Mincho"/>
                <w:iCs/>
                <w:sz w:val="20"/>
                <w:szCs w:val="20"/>
              </w:rPr>
              <w:t>Reduced minimum number of Rx branches:</w:t>
            </w:r>
          </w:p>
          <w:p w14:paraId="6C56BD11" w14:textId="77777777" w:rsidR="00ED5DC0" w:rsidRPr="00ED5DC0" w:rsidRDefault="00ED5DC0" w:rsidP="009C7E4F">
            <w:pPr>
              <w:numPr>
                <w:ilvl w:val="2"/>
                <w:numId w:val="19"/>
              </w:numPr>
              <w:overflowPunct w:val="0"/>
              <w:autoSpaceDE/>
              <w:autoSpaceDN/>
              <w:adjustRightInd/>
              <w:snapToGrid/>
              <w:spacing w:after="180"/>
              <w:ind w:left="2160"/>
              <w:jc w:val="left"/>
              <w:textAlignment w:val="baseline"/>
              <w:rPr>
                <w:rFonts w:eastAsia="MS Mincho"/>
                <w:b/>
                <w:iCs/>
                <w:sz w:val="20"/>
                <w:szCs w:val="20"/>
              </w:rPr>
            </w:pPr>
            <w:r w:rsidRPr="00ED5DC0">
              <w:rPr>
                <w:rFonts w:eastAsia="MS Mincho"/>
                <w:iCs/>
                <w:sz w:val="20"/>
                <w:szCs w:val="20"/>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56A024E5" w14:textId="77777777" w:rsidR="00ED5DC0" w:rsidRPr="00ED5DC0" w:rsidRDefault="00ED5DC0" w:rsidP="009C7E4F">
            <w:pPr>
              <w:numPr>
                <w:ilvl w:val="2"/>
                <w:numId w:val="19"/>
              </w:numPr>
              <w:overflowPunct w:val="0"/>
              <w:autoSpaceDE/>
              <w:autoSpaceDN/>
              <w:adjustRightInd/>
              <w:snapToGrid/>
              <w:spacing w:after="180"/>
              <w:ind w:left="2160"/>
              <w:jc w:val="left"/>
              <w:textAlignment w:val="baseline"/>
              <w:rPr>
                <w:rFonts w:eastAsia="MS Mincho"/>
                <w:iCs/>
                <w:sz w:val="20"/>
                <w:szCs w:val="20"/>
              </w:rPr>
            </w:pPr>
            <w:bookmarkStart w:id="3" w:name="_Hlk58502022"/>
            <w:r w:rsidRPr="00ED5DC0">
              <w:rPr>
                <w:rFonts w:eastAsia="MS Mincho"/>
                <w:iCs/>
                <w:sz w:val="20"/>
                <w:szCs w:val="20"/>
              </w:rPr>
              <w:t xml:space="preserve">For frequency bands where a legacy NR UE (other than 2-Rx vehicular UE) is required to be equipped with a minimum of 4 Rx </w:t>
            </w:r>
            <w:bookmarkEnd w:id="3"/>
            <w:r w:rsidRPr="00ED5DC0">
              <w:rPr>
                <w:rFonts w:eastAsia="MS Mincho"/>
                <w:iCs/>
                <w:sz w:val="20"/>
                <w:szCs w:val="20"/>
              </w:rPr>
              <w:t xml:space="preserve">antenna ports, the minimum number of Rx </w:t>
            </w:r>
            <w:bookmarkStart w:id="4" w:name="_Hlk58574559"/>
            <w:r w:rsidRPr="00ED5DC0">
              <w:rPr>
                <w:rFonts w:eastAsia="MS Mincho"/>
                <w:iCs/>
                <w:sz w:val="20"/>
                <w:szCs w:val="20"/>
              </w:rPr>
              <w:t xml:space="preserve">branches </w:t>
            </w:r>
            <w:bookmarkEnd w:id="4"/>
            <w:r w:rsidRPr="00ED5DC0">
              <w:rPr>
                <w:rFonts w:eastAsia="MS Mincho"/>
                <w:iCs/>
                <w:sz w:val="20"/>
                <w:szCs w:val="20"/>
              </w:rPr>
              <w:t>supported by specification for a RedCap UE is 1. The specification also supports 2 Rx branches for a RedCap UE in these bands.</w:t>
            </w:r>
          </w:p>
          <w:p w14:paraId="00EF3DFD" w14:textId="412A4095" w:rsidR="00972070" w:rsidRPr="00D1398F" w:rsidRDefault="00ED5DC0" w:rsidP="009C7E4F">
            <w:pPr>
              <w:numPr>
                <w:ilvl w:val="2"/>
                <w:numId w:val="19"/>
              </w:numPr>
              <w:overflowPunct w:val="0"/>
              <w:autoSpaceDE/>
              <w:autoSpaceDN/>
              <w:adjustRightInd/>
              <w:snapToGrid/>
              <w:spacing w:after="180"/>
              <w:ind w:left="2160"/>
              <w:jc w:val="left"/>
              <w:textAlignment w:val="baseline"/>
              <w:rPr>
                <w:rFonts w:eastAsia="MS Mincho"/>
                <w:b/>
                <w:iCs/>
                <w:sz w:val="20"/>
                <w:szCs w:val="20"/>
              </w:rPr>
            </w:pPr>
            <w:r w:rsidRPr="00ED5DC0">
              <w:rPr>
                <w:rFonts w:eastAsia="MS Mincho"/>
                <w:iCs/>
                <w:sz w:val="20"/>
                <w:szCs w:val="20"/>
              </w:rPr>
              <w:t>A means shall be specified by which the gNB can know the number of Rx branches of the UE.</w:t>
            </w:r>
          </w:p>
        </w:tc>
      </w:tr>
    </w:tbl>
    <w:p w14:paraId="115AF545" w14:textId="2D0BAD68" w:rsidR="00485D5B" w:rsidRDefault="00485D5B" w:rsidP="00920A2E">
      <w:pPr>
        <w:rPr>
          <w:lang w:eastAsia="zh-CN"/>
        </w:rPr>
      </w:pPr>
      <w:r>
        <w:rPr>
          <w:lang w:eastAsia="zh-CN"/>
        </w:rPr>
        <w:t>For frequency bands with mandatory 2 Rx</w:t>
      </w:r>
      <w:r w:rsidR="00D14B65">
        <w:rPr>
          <w:lang w:eastAsia="zh-CN"/>
        </w:rPr>
        <w:t xml:space="preserve"> branches and frequency bands with mandatory 4 Rx branches,</w:t>
      </w:r>
      <w:r>
        <w:rPr>
          <w:lang w:eastAsia="zh-CN"/>
        </w:rPr>
        <w:t xml:space="preserve"> </w:t>
      </w:r>
      <w:r w:rsidR="00D14B65">
        <w:rPr>
          <w:lang w:eastAsia="zh-CN"/>
        </w:rPr>
        <w:t>the minimum number of Rx for RedCap UE is 1, and the specification also support 2 Rx for RedCap UE in these bands.</w:t>
      </w:r>
    </w:p>
    <w:p w14:paraId="6E25FF9F" w14:textId="76785A6B" w:rsidR="002B0E04" w:rsidRDefault="00BF55CC" w:rsidP="0026438C">
      <w:pPr>
        <w:rPr>
          <w:lang w:eastAsia="zh-CN"/>
        </w:rPr>
      </w:pPr>
      <w:r w:rsidRPr="00BF55CC">
        <w:rPr>
          <w:lang w:eastAsia="zh-CN"/>
        </w:rPr>
        <w:t xml:space="preserve">This contribution discusses </w:t>
      </w:r>
      <w:r w:rsidR="00FE41A3">
        <w:rPr>
          <w:lang w:eastAsia="zh-CN"/>
        </w:rPr>
        <w:t>the p</w:t>
      </w:r>
      <w:r w:rsidR="00CC0196">
        <w:rPr>
          <w:lang w:eastAsia="zh-CN"/>
        </w:rPr>
        <w:t xml:space="preserve">otential specification impact on </w:t>
      </w:r>
      <w:r w:rsidR="00B208CD" w:rsidRPr="00BF55CC">
        <w:rPr>
          <w:lang w:eastAsia="zh-CN"/>
        </w:rPr>
        <w:t>reduced minimum number of Rx branches</w:t>
      </w:r>
      <w:r w:rsidR="00FE41A3">
        <w:rPr>
          <w:lang w:eastAsia="zh-CN"/>
        </w:rPr>
        <w:t>.</w:t>
      </w:r>
    </w:p>
    <w:p w14:paraId="3B5A7BB2" w14:textId="77777777" w:rsidR="00B34750" w:rsidRPr="00B34750" w:rsidRDefault="00B34750" w:rsidP="0026438C">
      <w:pPr>
        <w:rPr>
          <w:lang w:eastAsia="zh-CN"/>
        </w:rPr>
      </w:pPr>
    </w:p>
    <w:p w14:paraId="3B0BB3F1" w14:textId="1A2C8F6C" w:rsidR="00BC0A96" w:rsidRPr="007E43A9" w:rsidRDefault="00713659" w:rsidP="00920A2E">
      <w:pPr>
        <w:pStyle w:val="Heading1"/>
        <w:jc w:val="left"/>
        <w:rPr>
          <w:lang w:eastAsia="zh-CN"/>
        </w:rPr>
      </w:pPr>
      <w:r>
        <w:rPr>
          <w:lang w:eastAsia="zh-CN"/>
        </w:rPr>
        <w:t>Coverage issues</w:t>
      </w:r>
    </w:p>
    <w:p w14:paraId="630467B7" w14:textId="7DB8FC4C" w:rsidR="00BC0A96" w:rsidRDefault="00713659" w:rsidP="0026438C">
      <w:pPr>
        <w:rPr>
          <w:lang w:eastAsia="zh-CN"/>
        </w:rPr>
      </w:pPr>
      <w:r>
        <w:rPr>
          <w:lang w:eastAsia="zh-CN"/>
        </w:rPr>
        <w:t>Reduction of the number of Rx antennas will cause the coverage issues.</w:t>
      </w:r>
    </w:p>
    <w:p w14:paraId="4EA44C4E" w14:textId="77777777" w:rsidR="00713659" w:rsidRPr="00713659" w:rsidRDefault="00713659" w:rsidP="0026438C">
      <w:pPr>
        <w:rPr>
          <w:lang w:eastAsia="zh-CN"/>
        </w:rPr>
      </w:pPr>
    </w:p>
    <w:p w14:paraId="75641E73" w14:textId="1822B233" w:rsidR="00713659" w:rsidRPr="007E43A9" w:rsidRDefault="00713659" w:rsidP="00713659">
      <w:pPr>
        <w:pStyle w:val="Heading2"/>
        <w:rPr>
          <w:lang w:eastAsia="zh-CN"/>
        </w:rPr>
      </w:pPr>
      <w:r>
        <w:rPr>
          <w:lang w:eastAsia="zh-CN"/>
        </w:rPr>
        <w:t>Coverage recovery by standardization</w:t>
      </w:r>
    </w:p>
    <w:p w14:paraId="02DE06C0" w14:textId="77777777" w:rsidR="00A04537" w:rsidRDefault="00A04537" w:rsidP="00A04537">
      <w:pPr>
        <w:rPr>
          <w:lang w:eastAsia="zh-CN"/>
        </w:rPr>
      </w:pPr>
      <w:r>
        <w:rPr>
          <w:lang w:eastAsia="zh-CN"/>
        </w:rPr>
        <w:t xml:space="preserve">In the latest WID, coverage recovery for UL channels can be jointly considered in “coverage enhancement” topic. </w:t>
      </w:r>
    </w:p>
    <w:tbl>
      <w:tblPr>
        <w:tblStyle w:val="TableGrid"/>
        <w:tblW w:w="0" w:type="auto"/>
        <w:tblLook w:val="04A0" w:firstRow="1" w:lastRow="0" w:firstColumn="1" w:lastColumn="0" w:noHBand="0" w:noVBand="1"/>
      </w:tblPr>
      <w:tblGrid>
        <w:gridCol w:w="9307"/>
      </w:tblGrid>
      <w:tr w:rsidR="00A04537" w14:paraId="487DCF7B" w14:textId="77777777" w:rsidTr="00D90371">
        <w:tc>
          <w:tcPr>
            <w:tcW w:w="9307" w:type="dxa"/>
          </w:tcPr>
          <w:p w14:paraId="1AB5B8C3" w14:textId="77777777" w:rsidR="00A04537" w:rsidRDefault="00A04537" w:rsidP="00D90371">
            <w:pPr>
              <w:rPr>
                <w:lang w:eastAsia="zh-CN"/>
              </w:rPr>
            </w:pPr>
            <w:r w:rsidRPr="001B4DF4">
              <w:rPr>
                <w:rFonts w:eastAsia="宋体"/>
                <w:sz w:val="20"/>
                <w:szCs w:val="20"/>
                <w:lang w:eastAsia="ja-JP"/>
              </w:rPr>
              <w:t>Uplink coverage enhancement solutions specified in the NR Coverage Enhancement WI (</w:t>
            </w:r>
            <w:r w:rsidRPr="001B4DF4">
              <w:rPr>
                <w:rFonts w:eastAsia="MS Mincho"/>
                <w:sz w:val="20"/>
                <w:szCs w:val="20"/>
                <w:lang w:val="en-GB" w:eastAsia="zh-CN"/>
              </w:rPr>
              <w:t>NR_cov_enh) shall be assumed to be available also to RedCap UEs by default (with small modifications for RedCap UEs if found necessary).</w:t>
            </w:r>
          </w:p>
        </w:tc>
      </w:tr>
    </w:tbl>
    <w:p w14:paraId="1CF11133" w14:textId="3C813D10" w:rsidR="00713659" w:rsidRDefault="00713659" w:rsidP="00713659">
      <w:pPr>
        <w:rPr>
          <w:lang w:eastAsia="zh-CN"/>
        </w:rPr>
      </w:pPr>
      <w:r>
        <w:rPr>
          <w:lang w:eastAsia="zh-CN"/>
        </w:rPr>
        <w:t>In the “coverage recovery” subtopic</w:t>
      </w:r>
      <w:r w:rsidR="009E1225">
        <w:rPr>
          <w:lang w:eastAsia="zh-CN"/>
        </w:rPr>
        <w:t xml:space="preserve"> in SI stage</w:t>
      </w:r>
      <w:r>
        <w:rPr>
          <w:lang w:eastAsia="zh-CN"/>
        </w:rPr>
        <w:t xml:space="preserve">, with the agreed evaluation methodology Option 3, </w:t>
      </w:r>
      <w:r w:rsidR="00A04537">
        <w:rPr>
          <w:lang w:eastAsia="zh-CN"/>
        </w:rPr>
        <w:t>only in case of 1 Rx and reduced antenna efficiency, coverage recovery for DL channels in FR1 may be needed</w:t>
      </w:r>
      <w:r w:rsidR="009E1225">
        <w:rPr>
          <w:lang w:eastAsia="zh-CN"/>
        </w:rPr>
        <w:t xml:space="preserve"> shown as follows </w:t>
      </w:r>
      <w:r w:rsidR="009E1225" w:rsidRPr="00A811EA">
        <w:rPr>
          <w:lang w:eastAsia="zh-CN"/>
        </w:rPr>
        <w:t>[2]</w:t>
      </w:r>
      <w:r w:rsidRPr="00A811EA">
        <w:rPr>
          <w:lang w:eastAsia="zh-CN"/>
        </w:rPr>
        <w:t>.</w:t>
      </w:r>
    </w:p>
    <w:tbl>
      <w:tblPr>
        <w:tblStyle w:val="TableGrid"/>
        <w:tblW w:w="0" w:type="auto"/>
        <w:tblLook w:val="04A0" w:firstRow="1" w:lastRow="0" w:firstColumn="1" w:lastColumn="0" w:noHBand="0" w:noVBand="1"/>
      </w:tblPr>
      <w:tblGrid>
        <w:gridCol w:w="9307"/>
      </w:tblGrid>
      <w:tr w:rsidR="00713659" w14:paraId="091BEF8B" w14:textId="77777777" w:rsidTr="00D90371">
        <w:tc>
          <w:tcPr>
            <w:tcW w:w="9307" w:type="dxa"/>
          </w:tcPr>
          <w:p w14:paraId="1AD039FA" w14:textId="77777777" w:rsidR="00713659" w:rsidRPr="00F76BA2" w:rsidRDefault="00713659" w:rsidP="00A04537">
            <w:pPr>
              <w:overflowPunct w:val="0"/>
              <w:autoSpaceDE/>
              <w:autoSpaceDN/>
              <w:adjustRightInd/>
              <w:snapToGrid/>
              <w:spacing w:after="180"/>
              <w:ind w:left="720"/>
              <w:contextualSpacing/>
              <w:jc w:val="left"/>
              <w:textAlignment w:val="baseline"/>
              <w:rPr>
                <w:rFonts w:eastAsia="宋体"/>
                <w:sz w:val="20"/>
                <w:szCs w:val="20"/>
                <w:lang w:val="en-GB" w:eastAsia="ja-JP"/>
              </w:rPr>
            </w:pPr>
            <w:r w:rsidRPr="00F76BA2">
              <w:rPr>
                <w:rFonts w:eastAsia="宋体"/>
                <w:sz w:val="20"/>
                <w:szCs w:val="20"/>
                <w:lang w:val="en-GB" w:eastAsia="ja-JP"/>
              </w:rPr>
              <w:t>For RedCap UE with 1 Rx and reduced antenna efficiency, dependent on frequency bands and the assumption of DL PSD, the need for coverage recovery can be different</w:t>
            </w:r>
          </w:p>
          <w:p w14:paraId="414CE72A" w14:textId="77777777" w:rsidR="00713659" w:rsidRPr="00F76BA2" w:rsidRDefault="00713659" w:rsidP="009C7E4F">
            <w:pPr>
              <w:numPr>
                <w:ilvl w:val="1"/>
                <w:numId w:val="20"/>
              </w:numPr>
              <w:overflowPunct w:val="0"/>
              <w:autoSpaceDE/>
              <w:autoSpaceDN/>
              <w:adjustRightInd/>
              <w:snapToGrid/>
              <w:spacing w:after="180"/>
              <w:contextualSpacing/>
              <w:jc w:val="left"/>
              <w:textAlignment w:val="baseline"/>
              <w:rPr>
                <w:rFonts w:eastAsia="宋体"/>
                <w:sz w:val="20"/>
                <w:szCs w:val="20"/>
                <w:lang w:val="en-GB" w:eastAsia="ja-JP"/>
              </w:rPr>
            </w:pPr>
            <w:r w:rsidRPr="00F76BA2">
              <w:rPr>
                <w:rFonts w:eastAsia="宋体"/>
                <w:sz w:val="20"/>
                <w:szCs w:val="20"/>
                <w:lang w:val="en-GB" w:eastAsia="ja-JP"/>
              </w:rPr>
              <w:t>For carrier frequency of 4 GHz with DL PSD 24 dBm/MHz, coverage recovery may be needed for the downlink channels of Msg2, Msg4 and PDCCH CSS. A small or moderate compensation can be considered:</w:t>
            </w:r>
          </w:p>
          <w:p w14:paraId="3E4D0AB4" w14:textId="77777777" w:rsidR="00713659" w:rsidRPr="00F76BA2" w:rsidRDefault="00713659" w:rsidP="009C7E4F">
            <w:pPr>
              <w:numPr>
                <w:ilvl w:val="2"/>
                <w:numId w:val="20"/>
              </w:numPr>
              <w:overflowPunct w:val="0"/>
              <w:autoSpaceDE/>
              <w:autoSpaceDN/>
              <w:adjustRightInd/>
              <w:snapToGrid/>
              <w:spacing w:after="180"/>
              <w:contextualSpacing/>
              <w:jc w:val="left"/>
              <w:textAlignment w:val="baseline"/>
              <w:rPr>
                <w:rFonts w:eastAsia="宋体"/>
                <w:sz w:val="20"/>
                <w:szCs w:val="20"/>
                <w:lang w:val="en-GB" w:eastAsia="ja-JP"/>
              </w:rPr>
            </w:pPr>
            <w:r w:rsidRPr="00F76BA2">
              <w:rPr>
                <w:rFonts w:eastAsia="宋体"/>
                <w:sz w:val="20"/>
                <w:szCs w:val="20"/>
                <w:lang w:val="en-GB" w:eastAsia="ja-JP"/>
              </w:rPr>
              <w:t>[</w:t>
            </w:r>
            <w:r w:rsidRPr="00F76BA2">
              <w:rPr>
                <w:rFonts w:eastAsia="宋体"/>
                <w:color w:val="FF0000"/>
                <w:sz w:val="20"/>
                <w:szCs w:val="20"/>
                <w:lang w:val="en-GB" w:eastAsia="ja-JP"/>
              </w:rPr>
              <w:t>1 dB</w:t>
            </w:r>
            <w:r w:rsidRPr="00F76BA2">
              <w:rPr>
                <w:rFonts w:eastAsia="宋体"/>
                <w:sz w:val="20"/>
                <w:szCs w:val="20"/>
                <w:lang w:val="en-GB" w:eastAsia="ja-JP"/>
              </w:rPr>
              <w:t>] for PDCCH CSS</w:t>
            </w:r>
          </w:p>
          <w:p w14:paraId="2CA06A11" w14:textId="77777777" w:rsidR="00713659" w:rsidRPr="00F76BA2" w:rsidRDefault="00713659" w:rsidP="009C7E4F">
            <w:pPr>
              <w:numPr>
                <w:ilvl w:val="2"/>
                <w:numId w:val="20"/>
              </w:numPr>
              <w:overflowPunct w:val="0"/>
              <w:autoSpaceDE/>
              <w:autoSpaceDN/>
              <w:adjustRightInd/>
              <w:snapToGrid/>
              <w:spacing w:after="180"/>
              <w:contextualSpacing/>
              <w:jc w:val="left"/>
              <w:textAlignment w:val="baseline"/>
              <w:rPr>
                <w:rFonts w:eastAsia="宋体"/>
                <w:sz w:val="20"/>
                <w:szCs w:val="20"/>
                <w:lang w:val="en-GB" w:eastAsia="ja-JP"/>
              </w:rPr>
            </w:pPr>
            <w:r w:rsidRPr="00F76BA2">
              <w:rPr>
                <w:rFonts w:eastAsia="宋体"/>
                <w:sz w:val="20"/>
                <w:szCs w:val="20"/>
                <w:lang w:val="en-GB" w:eastAsia="ja-JP"/>
              </w:rPr>
              <w:lastRenderedPageBreak/>
              <w:t>[</w:t>
            </w:r>
            <w:r w:rsidRPr="00F76BA2">
              <w:rPr>
                <w:rFonts w:eastAsia="宋体"/>
                <w:color w:val="FF0000"/>
                <w:sz w:val="20"/>
                <w:szCs w:val="20"/>
                <w:lang w:val="en-GB" w:eastAsia="ja-JP"/>
              </w:rPr>
              <w:t>2-3 dB</w:t>
            </w:r>
            <w:r w:rsidRPr="00F76BA2">
              <w:rPr>
                <w:rFonts w:eastAsia="宋体"/>
                <w:sz w:val="20"/>
                <w:szCs w:val="20"/>
                <w:lang w:val="en-GB" w:eastAsia="ja-JP"/>
              </w:rPr>
              <w:t>] for Msg4</w:t>
            </w:r>
          </w:p>
          <w:p w14:paraId="2111DD61" w14:textId="77777777" w:rsidR="00713659" w:rsidRPr="00F76BA2" w:rsidRDefault="00713659" w:rsidP="009C7E4F">
            <w:pPr>
              <w:numPr>
                <w:ilvl w:val="2"/>
                <w:numId w:val="20"/>
              </w:numPr>
              <w:overflowPunct w:val="0"/>
              <w:autoSpaceDE/>
              <w:autoSpaceDN/>
              <w:adjustRightInd/>
              <w:snapToGrid/>
              <w:spacing w:after="180"/>
              <w:contextualSpacing/>
              <w:jc w:val="left"/>
              <w:textAlignment w:val="baseline"/>
              <w:rPr>
                <w:rFonts w:eastAsia="宋体"/>
                <w:sz w:val="20"/>
                <w:szCs w:val="20"/>
                <w:lang w:val="en-GB" w:eastAsia="ja-JP"/>
              </w:rPr>
            </w:pPr>
            <w:r w:rsidRPr="00F76BA2">
              <w:rPr>
                <w:rFonts w:eastAsia="宋体"/>
                <w:sz w:val="20"/>
                <w:szCs w:val="20"/>
                <w:lang w:val="en-GB" w:eastAsia="ja-JP"/>
              </w:rPr>
              <w:t xml:space="preserve">[5-6 dB] for Msg2 without TBS scaling. It is noted that coverage loss for Msg2 can be compensated by using the existing TBS scaling technique. </w:t>
            </w:r>
          </w:p>
          <w:p w14:paraId="4566857D" w14:textId="77777777" w:rsidR="00713659" w:rsidRPr="00F76BA2" w:rsidRDefault="00713659" w:rsidP="009C7E4F">
            <w:pPr>
              <w:numPr>
                <w:ilvl w:val="1"/>
                <w:numId w:val="20"/>
              </w:numPr>
              <w:overflowPunct w:val="0"/>
              <w:autoSpaceDE/>
              <w:autoSpaceDN/>
              <w:adjustRightInd/>
              <w:snapToGrid/>
              <w:spacing w:after="180"/>
              <w:contextualSpacing/>
              <w:jc w:val="left"/>
              <w:textAlignment w:val="baseline"/>
              <w:rPr>
                <w:rFonts w:eastAsia="宋体"/>
                <w:sz w:val="20"/>
                <w:szCs w:val="20"/>
                <w:lang w:val="en-GB" w:eastAsia="ja-JP"/>
              </w:rPr>
            </w:pPr>
            <w:r w:rsidRPr="00F76BA2">
              <w:rPr>
                <w:rFonts w:eastAsia="宋体"/>
                <w:sz w:val="20"/>
                <w:szCs w:val="20"/>
                <w:lang w:val="en-GB" w:eastAsia="ja-JP"/>
              </w:rPr>
              <w:t>For other carrier frequencies or DL PSD other than 24 dBm/MHz, coverage recovery is not needed for the downlink channels if the target for coverage recovery is based on the MIL of the bottleneck channel for the reference NR UE</w:t>
            </w:r>
          </w:p>
        </w:tc>
      </w:tr>
    </w:tbl>
    <w:p w14:paraId="1A4F86A8" w14:textId="4E5E7307" w:rsidR="00713659" w:rsidRPr="0026438C" w:rsidRDefault="00A04537" w:rsidP="00713659">
      <w:pPr>
        <w:rPr>
          <w:b/>
          <w:i/>
          <w:lang w:eastAsia="ja-JP"/>
        </w:rPr>
      </w:pPr>
      <w:r>
        <w:rPr>
          <w:lang w:eastAsia="zh-CN"/>
        </w:rPr>
        <w:lastRenderedPageBreak/>
        <w:t>However, in RAN plenary</w:t>
      </w:r>
      <w:r w:rsidR="00713659">
        <w:rPr>
          <w:lang w:eastAsia="zh-CN"/>
        </w:rPr>
        <w:t>, whether to perform coverage recovery</w:t>
      </w:r>
      <w:r>
        <w:rPr>
          <w:lang w:eastAsia="zh-CN"/>
        </w:rPr>
        <w:t xml:space="preserve"> for DL channels</w:t>
      </w:r>
      <w:r w:rsidR="00713659">
        <w:rPr>
          <w:lang w:eastAsia="zh-CN"/>
        </w:rPr>
        <w:t xml:space="preserve"> cannot reach consensus.</w:t>
      </w:r>
      <w:r>
        <w:rPr>
          <w:lang w:eastAsia="zh-CN"/>
        </w:rPr>
        <w:t xml:space="preserve"> We suspect that for lo</w:t>
      </w:r>
      <w:r w:rsidR="00ED6E59">
        <w:rPr>
          <w:lang w:eastAsia="zh-CN"/>
        </w:rPr>
        <w:t>w-end smart watch the condition</w:t>
      </w:r>
      <w:r>
        <w:rPr>
          <w:lang w:eastAsia="zh-CN"/>
        </w:rPr>
        <w:t xml:space="preserve"> of “1 Rx and reduced antenna efficiency” may be satisfied and the coverage recovery may be necessary.</w:t>
      </w:r>
    </w:p>
    <w:p w14:paraId="6E921608" w14:textId="5A2333ED" w:rsidR="00713659" w:rsidRPr="00A04537" w:rsidRDefault="00713659" w:rsidP="0026438C">
      <w:pPr>
        <w:rPr>
          <w:lang w:eastAsia="zh-CN"/>
        </w:rPr>
      </w:pPr>
    </w:p>
    <w:p w14:paraId="788460BC" w14:textId="30970E5E" w:rsidR="00713659" w:rsidRPr="007E43A9" w:rsidRDefault="00713659" w:rsidP="00713659">
      <w:pPr>
        <w:pStyle w:val="Heading2"/>
        <w:rPr>
          <w:lang w:eastAsia="zh-CN"/>
        </w:rPr>
      </w:pPr>
      <w:r>
        <w:rPr>
          <w:lang w:eastAsia="zh-CN"/>
        </w:rPr>
        <w:t>Coverage recovery by gNB implementation</w:t>
      </w:r>
    </w:p>
    <w:p w14:paraId="138BE2B1" w14:textId="6C51A69C" w:rsidR="00713659" w:rsidRDefault="00713659" w:rsidP="0026438C">
      <w:pPr>
        <w:rPr>
          <w:lang w:eastAsia="zh-CN"/>
        </w:rPr>
      </w:pPr>
      <w:r>
        <w:rPr>
          <w:lang w:eastAsia="zh-CN"/>
        </w:rPr>
        <w:t>If there is no standardization for coverage recovery, the coverage loss can be compensated by gNB implementation, e.g. using large AL for PDCCH, using low MCS for PDSCH.</w:t>
      </w:r>
    </w:p>
    <w:p w14:paraId="1371A30A" w14:textId="2A785788" w:rsidR="00713659" w:rsidRPr="00713659" w:rsidRDefault="00713659" w:rsidP="0026438C">
      <w:pPr>
        <w:rPr>
          <w:lang w:eastAsia="zh-CN"/>
        </w:rPr>
      </w:pPr>
      <w:r>
        <w:rPr>
          <w:lang w:eastAsia="zh-CN"/>
        </w:rPr>
        <w:t>It is rational since it was agreed that gNB can know the number of Rx b</w:t>
      </w:r>
      <w:r w:rsidR="007868B2">
        <w:rPr>
          <w:lang w:eastAsia="zh-CN"/>
        </w:rPr>
        <w:t>ranches according to</w:t>
      </w:r>
      <w:r>
        <w:rPr>
          <w:lang w:eastAsia="zh-CN"/>
        </w:rPr>
        <w:t xml:space="preserve"> both RAN</w:t>
      </w:r>
      <w:r w:rsidR="007868B2">
        <w:rPr>
          <w:lang w:eastAsia="zh-CN"/>
        </w:rPr>
        <w:t xml:space="preserve"> plenary WID or RAN1 agreements</w:t>
      </w:r>
      <w:r w:rsidR="009F1760">
        <w:rPr>
          <w:lang w:eastAsia="zh-CN"/>
        </w:rPr>
        <w:t xml:space="preserve"> </w:t>
      </w:r>
      <w:r w:rsidR="009F1760" w:rsidRPr="00A811EA">
        <w:rPr>
          <w:lang w:eastAsia="zh-CN"/>
        </w:rPr>
        <w:t>[3]</w:t>
      </w:r>
      <w:r w:rsidR="007868B2" w:rsidRPr="00A811EA">
        <w:rPr>
          <w:lang w:eastAsia="zh-CN"/>
        </w:rPr>
        <w:t>, s</w:t>
      </w:r>
      <w:r w:rsidR="007868B2">
        <w:rPr>
          <w:lang w:eastAsia="zh-CN"/>
        </w:rPr>
        <w:t>hown as follows.</w:t>
      </w:r>
    </w:p>
    <w:tbl>
      <w:tblPr>
        <w:tblStyle w:val="TableGrid"/>
        <w:tblW w:w="0" w:type="auto"/>
        <w:tblLook w:val="04A0" w:firstRow="1" w:lastRow="0" w:firstColumn="1" w:lastColumn="0" w:noHBand="0" w:noVBand="1"/>
      </w:tblPr>
      <w:tblGrid>
        <w:gridCol w:w="9307"/>
      </w:tblGrid>
      <w:tr w:rsidR="007868B2" w14:paraId="788980F9" w14:textId="77777777" w:rsidTr="00D90371">
        <w:tc>
          <w:tcPr>
            <w:tcW w:w="9307" w:type="dxa"/>
          </w:tcPr>
          <w:p w14:paraId="1BCAA920" w14:textId="77777777" w:rsidR="007868B2" w:rsidRPr="00ED5DC0" w:rsidRDefault="007868B2" w:rsidP="009C7E4F">
            <w:pPr>
              <w:numPr>
                <w:ilvl w:val="1"/>
                <w:numId w:val="19"/>
              </w:numPr>
              <w:overflowPunct w:val="0"/>
              <w:autoSpaceDE/>
              <w:autoSpaceDN/>
              <w:adjustRightInd/>
              <w:snapToGrid/>
              <w:spacing w:after="180"/>
              <w:ind w:left="1440"/>
              <w:jc w:val="left"/>
              <w:textAlignment w:val="baseline"/>
              <w:rPr>
                <w:rFonts w:eastAsia="MS Mincho"/>
                <w:b/>
                <w:iCs/>
                <w:sz w:val="20"/>
                <w:szCs w:val="20"/>
              </w:rPr>
            </w:pPr>
            <w:r w:rsidRPr="00ED5DC0">
              <w:rPr>
                <w:rFonts w:eastAsia="MS Mincho"/>
                <w:iCs/>
                <w:sz w:val="20"/>
                <w:szCs w:val="20"/>
              </w:rPr>
              <w:t>Reduced minimum number of Rx branches:</w:t>
            </w:r>
          </w:p>
          <w:p w14:paraId="521486F0" w14:textId="77777777" w:rsidR="007868B2" w:rsidRPr="00D1398F" w:rsidRDefault="007868B2" w:rsidP="009C7E4F">
            <w:pPr>
              <w:numPr>
                <w:ilvl w:val="2"/>
                <w:numId w:val="19"/>
              </w:numPr>
              <w:overflowPunct w:val="0"/>
              <w:autoSpaceDE/>
              <w:autoSpaceDN/>
              <w:adjustRightInd/>
              <w:snapToGrid/>
              <w:spacing w:after="180"/>
              <w:ind w:left="2160"/>
              <w:jc w:val="left"/>
              <w:textAlignment w:val="baseline"/>
              <w:rPr>
                <w:rFonts w:eastAsia="MS Mincho"/>
                <w:b/>
                <w:iCs/>
                <w:sz w:val="20"/>
                <w:szCs w:val="20"/>
              </w:rPr>
            </w:pPr>
            <w:r w:rsidRPr="007868B2">
              <w:rPr>
                <w:rFonts w:eastAsia="MS Mincho"/>
                <w:iCs/>
                <w:color w:val="FF0000"/>
                <w:sz w:val="20"/>
                <w:szCs w:val="20"/>
              </w:rPr>
              <w:t>A means shall be specified by which the gNB can know the number of Rx branches of the UE.</w:t>
            </w:r>
          </w:p>
        </w:tc>
      </w:tr>
    </w:tbl>
    <w:p w14:paraId="182692B5" w14:textId="77777777" w:rsidR="007868B2" w:rsidRDefault="007868B2" w:rsidP="00D14B65">
      <w:pPr>
        <w:rPr>
          <w:lang w:eastAsia="zh-CN"/>
        </w:rPr>
      </w:pPr>
    </w:p>
    <w:tbl>
      <w:tblPr>
        <w:tblStyle w:val="TableGrid"/>
        <w:tblW w:w="0" w:type="auto"/>
        <w:tblLook w:val="04A0" w:firstRow="1" w:lastRow="0" w:firstColumn="1" w:lastColumn="0" w:noHBand="0" w:noVBand="1"/>
      </w:tblPr>
      <w:tblGrid>
        <w:gridCol w:w="9307"/>
      </w:tblGrid>
      <w:tr w:rsidR="00D14B65" w14:paraId="118E9644" w14:textId="77777777" w:rsidTr="00D90371">
        <w:tc>
          <w:tcPr>
            <w:tcW w:w="9307" w:type="dxa"/>
          </w:tcPr>
          <w:p w14:paraId="48AEDBFA" w14:textId="77777777" w:rsidR="00D14B65" w:rsidRPr="002B0E04" w:rsidRDefault="00D14B65" w:rsidP="00D90371">
            <w:pPr>
              <w:autoSpaceDE/>
              <w:autoSpaceDN/>
              <w:adjustRightInd/>
              <w:snapToGrid/>
              <w:spacing w:after="0"/>
              <w:jc w:val="left"/>
              <w:rPr>
                <w:rFonts w:eastAsia="Batang"/>
                <w:sz w:val="20"/>
                <w:szCs w:val="20"/>
                <w:lang w:val="en-GB"/>
              </w:rPr>
            </w:pPr>
            <w:r w:rsidRPr="002B0E04">
              <w:rPr>
                <w:rFonts w:eastAsia="Batang"/>
                <w:sz w:val="20"/>
                <w:szCs w:val="20"/>
                <w:highlight w:val="green"/>
                <w:lang w:val="en-GB"/>
              </w:rPr>
              <w:t>Agreements:</w:t>
            </w:r>
          </w:p>
          <w:p w14:paraId="7739E3A1" w14:textId="77777777" w:rsidR="00D14B65" w:rsidRPr="002B0E04" w:rsidRDefault="00D14B65" w:rsidP="009C7E4F">
            <w:pPr>
              <w:numPr>
                <w:ilvl w:val="0"/>
                <w:numId w:val="21"/>
              </w:numPr>
              <w:autoSpaceDE/>
              <w:autoSpaceDN/>
              <w:adjustRightInd/>
              <w:snapToGrid/>
              <w:spacing w:after="180" w:line="252" w:lineRule="auto"/>
              <w:ind w:left="720"/>
              <w:contextualSpacing/>
              <w:jc w:val="left"/>
              <w:rPr>
                <w:rFonts w:eastAsia="Batang"/>
                <w:sz w:val="20"/>
                <w:szCs w:val="20"/>
                <w:lang w:val="en-GB" w:eastAsia="x-none"/>
              </w:rPr>
            </w:pPr>
            <w:r w:rsidRPr="002B0E04">
              <w:rPr>
                <w:rFonts w:eastAsia="Batang"/>
                <w:sz w:val="20"/>
                <w:szCs w:val="20"/>
                <w:lang w:val="en-GB" w:eastAsia="x-none"/>
              </w:rPr>
              <w:t>For reduced minimum number of Rx branches in FR1 and FR2 frequency bands where a legacy NR UE is required to be equipped with a minimum of 2 Rx antenna ports:</w:t>
            </w:r>
          </w:p>
          <w:p w14:paraId="02DE9838" w14:textId="77777777" w:rsidR="00D14B65" w:rsidRPr="002B0E04" w:rsidRDefault="00D14B65" w:rsidP="009C7E4F">
            <w:pPr>
              <w:numPr>
                <w:ilvl w:val="1"/>
                <w:numId w:val="21"/>
              </w:numPr>
              <w:autoSpaceDE/>
              <w:autoSpaceDN/>
              <w:adjustRightInd/>
              <w:snapToGrid/>
              <w:spacing w:after="180" w:line="252" w:lineRule="auto"/>
              <w:ind w:left="1440"/>
              <w:contextualSpacing/>
              <w:jc w:val="left"/>
              <w:rPr>
                <w:rFonts w:eastAsia="Batang"/>
                <w:sz w:val="20"/>
                <w:szCs w:val="20"/>
                <w:lang w:val="en-GB" w:eastAsia="x-none"/>
              </w:rPr>
            </w:pPr>
            <w:r w:rsidRPr="002B0E04">
              <w:rPr>
                <w:rFonts w:eastAsia="Batang"/>
                <w:sz w:val="20"/>
                <w:szCs w:val="20"/>
                <w:lang w:val="en-GB" w:eastAsia="x-none"/>
              </w:rPr>
              <w:t>FFS: need for solutions to reduced PDCCH blocking</w:t>
            </w:r>
            <w:r w:rsidRPr="002B0E04">
              <w:rPr>
                <w:rFonts w:eastAsia="Batang"/>
                <w:strike/>
                <w:color w:val="FF0000"/>
                <w:sz w:val="20"/>
                <w:szCs w:val="20"/>
                <w:lang w:val="en-GB" w:eastAsia="x-none"/>
              </w:rPr>
              <w:t xml:space="preserve"> </w:t>
            </w:r>
          </w:p>
          <w:p w14:paraId="30825238" w14:textId="77777777" w:rsidR="00D14B65" w:rsidRPr="002B0E04" w:rsidRDefault="00D14B65" w:rsidP="009C7E4F">
            <w:pPr>
              <w:numPr>
                <w:ilvl w:val="1"/>
                <w:numId w:val="21"/>
              </w:numPr>
              <w:autoSpaceDE/>
              <w:autoSpaceDN/>
              <w:adjustRightInd/>
              <w:snapToGrid/>
              <w:spacing w:after="180" w:line="252" w:lineRule="auto"/>
              <w:ind w:left="1440"/>
              <w:contextualSpacing/>
              <w:jc w:val="left"/>
              <w:rPr>
                <w:rFonts w:eastAsia="Batang"/>
                <w:sz w:val="20"/>
                <w:szCs w:val="20"/>
                <w:lang w:val="en-GB" w:eastAsia="x-none"/>
              </w:rPr>
            </w:pPr>
            <w:r w:rsidRPr="002B0E04">
              <w:rPr>
                <w:rFonts w:eastAsia="Batang"/>
                <w:sz w:val="20"/>
                <w:szCs w:val="20"/>
                <w:lang w:val="en-GB" w:eastAsia="x-none"/>
              </w:rPr>
              <w:t>FFS: need for reporting of UE antenna related information to gNB (e.g., # of panels, polarization, etc.)</w:t>
            </w:r>
          </w:p>
          <w:p w14:paraId="1298F8D4" w14:textId="77777777" w:rsidR="00D14B65" w:rsidRPr="002B0E04" w:rsidRDefault="00D14B65" w:rsidP="009C7E4F">
            <w:pPr>
              <w:numPr>
                <w:ilvl w:val="1"/>
                <w:numId w:val="21"/>
              </w:numPr>
              <w:autoSpaceDE/>
              <w:autoSpaceDN/>
              <w:adjustRightInd/>
              <w:snapToGrid/>
              <w:spacing w:after="180" w:line="252" w:lineRule="auto"/>
              <w:ind w:left="1440"/>
              <w:contextualSpacing/>
              <w:jc w:val="left"/>
              <w:rPr>
                <w:rFonts w:eastAsia="Batang"/>
                <w:sz w:val="20"/>
                <w:szCs w:val="20"/>
                <w:lang w:val="en-GB" w:eastAsia="x-none"/>
              </w:rPr>
            </w:pPr>
            <w:bookmarkStart w:id="5" w:name="OLE_LINK9"/>
            <w:bookmarkStart w:id="6" w:name="OLE_LINK10"/>
            <w:bookmarkStart w:id="7" w:name="OLE_LINK11"/>
            <w:bookmarkStart w:id="8" w:name="OLE_LINK12"/>
            <w:r w:rsidRPr="007868B2">
              <w:rPr>
                <w:rFonts w:eastAsia="Batang"/>
                <w:color w:val="FF0000"/>
                <w:sz w:val="20"/>
                <w:szCs w:val="20"/>
                <w:lang w:val="en-GB" w:eastAsia="x-none"/>
              </w:rPr>
              <w:t>Information related to the reduction of the number of antenna branches is assumed to be known at the gNB</w:t>
            </w:r>
            <w:bookmarkEnd w:id="5"/>
            <w:bookmarkEnd w:id="6"/>
            <w:r w:rsidRPr="007868B2">
              <w:rPr>
                <w:rFonts w:eastAsia="Batang"/>
                <w:color w:val="FF0000"/>
                <w:sz w:val="20"/>
                <w:szCs w:val="20"/>
                <w:lang w:val="en-GB" w:eastAsia="x-none"/>
              </w:rPr>
              <w:t xml:space="preserve"> </w:t>
            </w:r>
            <w:bookmarkEnd w:id="7"/>
            <w:bookmarkEnd w:id="8"/>
            <w:r w:rsidRPr="007868B2">
              <w:rPr>
                <w:rFonts w:eastAsia="Batang"/>
                <w:color w:val="FF0000"/>
                <w:sz w:val="20"/>
                <w:szCs w:val="20"/>
                <w:lang w:val="en-GB" w:eastAsia="x-none"/>
              </w:rPr>
              <w:t>(either implicitly or explicitly, to be FFS)</w:t>
            </w:r>
          </w:p>
        </w:tc>
      </w:tr>
    </w:tbl>
    <w:p w14:paraId="2700EB15" w14:textId="768E8B4B" w:rsidR="002B0E04" w:rsidRPr="00D14B65" w:rsidRDefault="002B0E04" w:rsidP="0026438C">
      <w:pPr>
        <w:rPr>
          <w:lang w:eastAsia="zh-CN"/>
        </w:rPr>
      </w:pPr>
    </w:p>
    <w:p w14:paraId="14AF4C14" w14:textId="3AE1B54B" w:rsidR="00356543" w:rsidRPr="007E43A9" w:rsidRDefault="007868B2" w:rsidP="00920A2E">
      <w:pPr>
        <w:pStyle w:val="Heading1"/>
        <w:jc w:val="left"/>
        <w:rPr>
          <w:lang w:eastAsia="zh-CN"/>
        </w:rPr>
      </w:pPr>
      <w:r>
        <w:rPr>
          <w:lang w:eastAsia="zh-CN"/>
        </w:rPr>
        <w:t xml:space="preserve">Large AL and </w:t>
      </w:r>
      <w:r w:rsidR="00356543">
        <w:rPr>
          <w:lang w:eastAsia="zh-CN"/>
        </w:rPr>
        <w:t>PDCCH blocking</w:t>
      </w:r>
    </w:p>
    <w:p w14:paraId="243BEAFB" w14:textId="1353D8EC" w:rsidR="00680E4D" w:rsidRDefault="007868B2" w:rsidP="00213281">
      <w:r>
        <w:rPr>
          <w:bCs/>
          <w:lang w:eastAsia="zh-CN"/>
        </w:rPr>
        <w:t>When gNB uses the large AL for PDCCH transmission to RedCap UE</w:t>
      </w:r>
      <w:r>
        <w:t>, there will be PDCCH blocking issue. For instance, if AL 16 is used for FR1 at 30kHz subcarrier spacing, there is only one PDCCH candidate in a CORESET</w:t>
      </w:r>
      <w:r w:rsidR="002D06AC">
        <w:t xml:space="preserve"> (2 symbols)</w:t>
      </w:r>
      <w:r>
        <w:t xml:space="preserve"> with 48 PRBs (approaching 20MHz maximum bandwidth for RedCap UE). </w:t>
      </w:r>
    </w:p>
    <w:p w14:paraId="3C69E8EA" w14:textId="10605D60" w:rsidR="00680E4D" w:rsidRDefault="00680E4D" w:rsidP="00213281">
      <w:r>
        <w:t>There could be some scenarios for PDCCH blocking:</w:t>
      </w:r>
    </w:p>
    <w:p w14:paraId="5BEAE2F2" w14:textId="2FBFC17A" w:rsidR="00680E4D" w:rsidRDefault="00680E4D" w:rsidP="009C7E4F">
      <w:pPr>
        <w:pStyle w:val="ListParagraph"/>
        <w:numPr>
          <w:ilvl w:val="0"/>
          <w:numId w:val="22"/>
        </w:numPr>
        <w:ind w:firstLineChars="0"/>
      </w:pPr>
      <w:r>
        <w:rPr>
          <w:rFonts w:hint="eastAsia"/>
          <w:lang w:eastAsia="zh-CN"/>
        </w:rPr>
        <w:t>P</w:t>
      </w:r>
      <w:r>
        <w:rPr>
          <w:lang w:eastAsia="zh-CN"/>
        </w:rPr>
        <w:t>DCCH blocking for RedCap UEs: PDCCHs for two RedCap UEs cannot be transmitted simultaneously when AL 16 is used in the active BWP with about 48 PRBs.</w:t>
      </w:r>
    </w:p>
    <w:p w14:paraId="4EA0DF62" w14:textId="332574A2" w:rsidR="00D14B65" w:rsidRDefault="00680E4D" w:rsidP="009C7E4F">
      <w:pPr>
        <w:pStyle w:val="ListParagraph"/>
        <w:numPr>
          <w:ilvl w:val="0"/>
          <w:numId w:val="22"/>
        </w:numPr>
        <w:ind w:firstLineChars="0"/>
      </w:pPr>
      <w:r>
        <w:t xml:space="preserve">PDCCH blocking for coexistence between RedCap UE and </w:t>
      </w:r>
      <w:r w:rsidR="00844B21">
        <w:t>non-RedCap</w:t>
      </w:r>
      <w:r>
        <w:t xml:space="preserve"> UE: </w:t>
      </w:r>
      <w:r w:rsidR="00844B21">
        <w:t>When RedCap UE and non-RedCap UE</w:t>
      </w:r>
      <w:r w:rsidR="007868B2">
        <w:t xml:space="preserve"> share the same BWP (e.g. the same initial DL BWP), PDCCHs for RedCap UE and </w:t>
      </w:r>
      <w:r w:rsidR="00844B21">
        <w:t xml:space="preserve">non-RedCap </w:t>
      </w:r>
      <w:r w:rsidR="007868B2">
        <w:t>UE cannot be transmitted simultaneously</w:t>
      </w:r>
      <w:r>
        <w:t xml:space="preserve"> when AL 16 for RedCap UE is used in the active BWP with about 48 PRBs</w:t>
      </w:r>
      <w:r w:rsidR="007868B2">
        <w:t>.</w:t>
      </w:r>
    </w:p>
    <w:p w14:paraId="0B3019AE" w14:textId="03A74AE3" w:rsidR="00680E4D" w:rsidRDefault="00680E4D" w:rsidP="00213281">
      <w:pPr>
        <w:rPr>
          <w:bCs/>
          <w:lang w:eastAsia="zh-CN"/>
        </w:rPr>
      </w:pPr>
      <w:r>
        <w:rPr>
          <w:bCs/>
          <w:lang w:eastAsia="zh-CN"/>
        </w:rPr>
        <w:t>For PDCCH blocking for RedCap UEs, there are some gNB implementation specific solutions, e.g. different active BWPs for different RedC</w:t>
      </w:r>
      <w:r w:rsidR="00E02619">
        <w:rPr>
          <w:bCs/>
          <w:lang w:eastAsia="zh-CN"/>
        </w:rPr>
        <w:t>ap UEs, configured PDSCH/PUSCH</w:t>
      </w:r>
      <w:r w:rsidR="001D438B">
        <w:rPr>
          <w:bCs/>
          <w:lang w:eastAsia="zh-CN"/>
        </w:rPr>
        <w:t xml:space="preserve"> (r</w:t>
      </w:r>
      <w:r>
        <w:rPr>
          <w:bCs/>
          <w:lang w:eastAsia="zh-CN"/>
        </w:rPr>
        <w:t>educing PDCCH transmission), multi-slot scheduling (</w:t>
      </w:r>
      <w:r w:rsidR="00487264">
        <w:rPr>
          <w:bCs/>
          <w:lang w:eastAsia="zh-CN"/>
        </w:rPr>
        <w:t xml:space="preserve">reducing PDCCH transmission which is </w:t>
      </w:r>
      <w:r>
        <w:rPr>
          <w:bCs/>
          <w:lang w:eastAsia="zh-CN"/>
        </w:rPr>
        <w:t>being specified in 60GHz topic).</w:t>
      </w:r>
      <w:r w:rsidR="00EE24C4">
        <w:rPr>
          <w:bCs/>
          <w:lang w:eastAsia="zh-CN"/>
        </w:rPr>
        <w:t xml:space="preserve"> </w:t>
      </w:r>
      <w:r w:rsidR="00487264">
        <w:rPr>
          <w:bCs/>
          <w:lang w:eastAsia="zh-CN"/>
        </w:rPr>
        <w:t>Latency for RedCap UEs may not be a critical requirement, so mitigating PDCCH blocking among RedCap UEs is not urgent.</w:t>
      </w:r>
    </w:p>
    <w:p w14:paraId="2680445F" w14:textId="43F0AA93" w:rsidR="00110260" w:rsidRDefault="00110260" w:rsidP="00213281">
      <w:pPr>
        <w:rPr>
          <w:bCs/>
          <w:lang w:eastAsia="zh-CN"/>
        </w:rPr>
      </w:pPr>
      <w:r>
        <w:rPr>
          <w:bCs/>
          <w:lang w:eastAsia="zh-CN"/>
        </w:rPr>
        <w:t xml:space="preserve">For PDCCH blocking for coexistence between RedCap UE and </w:t>
      </w:r>
      <w:r w:rsidR="00844B21">
        <w:t>non-RedCap</w:t>
      </w:r>
      <w:r w:rsidR="00844B21">
        <w:rPr>
          <w:bCs/>
          <w:lang w:eastAsia="zh-CN"/>
        </w:rPr>
        <w:t xml:space="preserve"> </w:t>
      </w:r>
      <w:r>
        <w:rPr>
          <w:bCs/>
          <w:lang w:eastAsia="zh-CN"/>
        </w:rPr>
        <w:t xml:space="preserve">UE, there are some gNB implementation specific solutions, e.g. different active BWPs for RedCap UE and </w:t>
      </w:r>
      <w:r w:rsidR="00844B21">
        <w:t>non-RedCap</w:t>
      </w:r>
      <w:r w:rsidR="00844B21">
        <w:rPr>
          <w:bCs/>
          <w:lang w:eastAsia="zh-CN"/>
        </w:rPr>
        <w:t xml:space="preserve"> </w:t>
      </w:r>
      <w:r>
        <w:rPr>
          <w:bCs/>
          <w:lang w:eastAsia="zh-CN"/>
        </w:rPr>
        <w:t>UE, configured PDSCH/PUSCH (reducing PDCCH transmission), multi-slot scheduling (</w:t>
      </w:r>
      <w:r w:rsidR="00487264">
        <w:rPr>
          <w:bCs/>
          <w:lang w:eastAsia="zh-CN"/>
        </w:rPr>
        <w:t xml:space="preserve">reducing PDCCH </w:t>
      </w:r>
      <w:r w:rsidR="00487264">
        <w:rPr>
          <w:bCs/>
          <w:lang w:eastAsia="zh-CN"/>
        </w:rPr>
        <w:lastRenderedPageBreak/>
        <w:t xml:space="preserve">transmission which is </w:t>
      </w:r>
      <w:r>
        <w:rPr>
          <w:bCs/>
          <w:lang w:eastAsia="zh-CN"/>
        </w:rPr>
        <w:t>being specified in 60GHz topic).</w:t>
      </w:r>
      <w:r w:rsidR="00487264">
        <w:rPr>
          <w:bCs/>
          <w:lang w:eastAsia="zh-CN"/>
        </w:rPr>
        <w:t xml:space="preserve"> PDCCH blocking for coexistence between RedCap UE and </w:t>
      </w:r>
      <w:r w:rsidR="00844B21">
        <w:t>non-RedCap</w:t>
      </w:r>
      <w:r w:rsidR="00844B21">
        <w:rPr>
          <w:bCs/>
          <w:lang w:eastAsia="zh-CN"/>
        </w:rPr>
        <w:t xml:space="preserve"> </w:t>
      </w:r>
      <w:r w:rsidR="00487264">
        <w:rPr>
          <w:bCs/>
          <w:lang w:eastAsia="zh-CN"/>
        </w:rPr>
        <w:t xml:space="preserve">UE should be addressed, since latency of </w:t>
      </w:r>
      <w:r w:rsidR="00844B21">
        <w:t>non-RedCap</w:t>
      </w:r>
      <w:r w:rsidR="00844B21">
        <w:rPr>
          <w:bCs/>
          <w:lang w:eastAsia="zh-CN"/>
        </w:rPr>
        <w:t xml:space="preserve"> </w:t>
      </w:r>
      <w:r w:rsidR="00487264">
        <w:rPr>
          <w:bCs/>
          <w:lang w:eastAsia="zh-CN"/>
        </w:rPr>
        <w:t xml:space="preserve">UE is one of key user experiences for eMBB. As shown in our companion contribution </w:t>
      </w:r>
      <w:r w:rsidR="00487264" w:rsidRPr="00A811EA">
        <w:rPr>
          <w:bCs/>
          <w:lang w:eastAsia="zh-CN"/>
        </w:rPr>
        <w:t>[</w:t>
      </w:r>
      <w:r w:rsidR="009F1760" w:rsidRPr="00A811EA">
        <w:rPr>
          <w:bCs/>
          <w:lang w:eastAsia="zh-CN"/>
        </w:rPr>
        <w:t>4</w:t>
      </w:r>
      <w:r w:rsidR="00487264" w:rsidRPr="00A811EA">
        <w:rPr>
          <w:bCs/>
          <w:lang w:eastAsia="zh-CN"/>
        </w:rPr>
        <w:t>], w</w:t>
      </w:r>
      <w:r w:rsidR="00487264">
        <w:rPr>
          <w:bCs/>
          <w:lang w:eastAsia="zh-CN"/>
        </w:rPr>
        <w:t xml:space="preserve">e propose the separate initial DL BWP for RedCap UE. Here, to reduce the PDCCH blocking for coexistence between RedCap UE and </w:t>
      </w:r>
      <w:r w:rsidR="00844B21">
        <w:t>non-RedCap</w:t>
      </w:r>
      <w:r w:rsidR="00844B21">
        <w:rPr>
          <w:bCs/>
          <w:lang w:eastAsia="zh-CN"/>
        </w:rPr>
        <w:t xml:space="preserve"> </w:t>
      </w:r>
      <w:r w:rsidR="00487264">
        <w:rPr>
          <w:bCs/>
          <w:lang w:eastAsia="zh-CN"/>
        </w:rPr>
        <w:t xml:space="preserve">UE, </w:t>
      </w:r>
      <w:r w:rsidR="00844B21">
        <w:rPr>
          <w:bCs/>
          <w:lang w:eastAsia="zh-CN"/>
        </w:rPr>
        <w:t>as a straightforward way,</w:t>
      </w:r>
      <w:r w:rsidR="00487264">
        <w:rPr>
          <w:bCs/>
          <w:lang w:eastAsia="zh-CN"/>
        </w:rPr>
        <w:t xml:space="preserve"> the separate initial DL BWP </w:t>
      </w:r>
      <w:r w:rsidR="00844B21">
        <w:rPr>
          <w:bCs/>
          <w:lang w:eastAsia="zh-CN"/>
        </w:rPr>
        <w:t>can be configured to</w:t>
      </w:r>
      <w:r w:rsidR="00487264">
        <w:rPr>
          <w:bCs/>
          <w:lang w:eastAsia="zh-CN"/>
        </w:rPr>
        <w:t xml:space="preserve"> RedCap UE.</w:t>
      </w:r>
    </w:p>
    <w:p w14:paraId="5582C43D" w14:textId="11759C12" w:rsidR="00213281" w:rsidRDefault="00844B21" w:rsidP="00213281">
      <w:pPr>
        <w:rPr>
          <w:bCs/>
          <w:lang w:eastAsia="zh-CN"/>
        </w:rPr>
      </w:pPr>
      <w:r>
        <w:rPr>
          <w:bCs/>
          <w:lang w:eastAsia="zh-CN"/>
        </w:rPr>
        <w:t xml:space="preserve">If RedCap UEs and non-RedCap UEs share the same initial DL BWP, </w:t>
      </w:r>
      <w:r w:rsidR="001D438B">
        <w:rPr>
          <w:bCs/>
          <w:lang w:eastAsia="zh-CN"/>
        </w:rPr>
        <w:t xml:space="preserve">according to above analysis, </w:t>
      </w:r>
      <w:r w:rsidR="00110260">
        <w:rPr>
          <w:bCs/>
          <w:lang w:eastAsia="zh-CN"/>
        </w:rPr>
        <w:t xml:space="preserve">it is better that gNB </w:t>
      </w:r>
      <w:r w:rsidR="006F6C99">
        <w:rPr>
          <w:bCs/>
          <w:lang w:eastAsia="zh-CN"/>
        </w:rPr>
        <w:t>configure the separate CORESET</w:t>
      </w:r>
      <w:r w:rsidR="002D06AC">
        <w:rPr>
          <w:bCs/>
          <w:lang w:eastAsia="zh-CN"/>
        </w:rPr>
        <w:t xml:space="preserve"> or search space set</w:t>
      </w:r>
      <w:r w:rsidR="006F6C99">
        <w:rPr>
          <w:bCs/>
          <w:lang w:eastAsia="zh-CN"/>
        </w:rPr>
        <w:t xml:space="preserve"> for RedCap UE.</w:t>
      </w:r>
      <w:r w:rsidR="001D438B">
        <w:rPr>
          <w:bCs/>
          <w:lang w:eastAsia="zh-CN"/>
        </w:rPr>
        <w:t xml:space="preserve"> However, the initial DL BWP may not</w:t>
      </w:r>
      <w:r w:rsidR="002D06AC">
        <w:rPr>
          <w:bCs/>
          <w:lang w:eastAsia="zh-CN"/>
        </w:rPr>
        <w:t xml:space="preserve"> have enough frequency resource</w:t>
      </w:r>
      <w:r w:rsidR="001D438B">
        <w:rPr>
          <w:bCs/>
          <w:lang w:eastAsia="zh-CN"/>
        </w:rPr>
        <w:t xml:space="preserve"> contain two non-overlapped CORESETs, e.g. the initial DL BWP is only</w:t>
      </w:r>
      <w:r w:rsidR="002D06AC">
        <w:rPr>
          <w:bCs/>
          <w:lang w:eastAsia="zh-CN"/>
        </w:rPr>
        <w:t xml:space="preserve"> </w:t>
      </w:r>
      <w:r w:rsidR="001D438B">
        <w:rPr>
          <w:bCs/>
          <w:lang w:eastAsia="zh-CN"/>
        </w:rPr>
        <w:t>20MHz for FR1</w:t>
      </w:r>
      <w:r w:rsidR="002D06AC">
        <w:rPr>
          <w:bCs/>
          <w:lang w:eastAsia="zh-CN"/>
        </w:rPr>
        <w:t xml:space="preserve"> to support </w:t>
      </w:r>
      <w:r w:rsidR="002D06AC">
        <w:t>AL 16 at 30kHz subcarrier spacing with 2-symbols CORESET</w:t>
      </w:r>
      <w:r w:rsidR="002D06AC">
        <w:rPr>
          <w:bCs/>
          <w:lang w:eastAsia="zh-CN"/>
        </w:rPr>
        <w:t xml:space="preserve">. </w:t>
      </w:r>
      <w:r w:rsidR="00ED6E59">
        <w:rPr>
          <w:bCs/>
          <w:lang w:eastAsia="zh-CN"/>
        </w:rPr>
        <w:t xml:space="preserve">In another way, </w:t>
      </w:r>
      <w:r w:rsidR="00ED6E59">
        <w:rPr>
          <w:rFonts w:hint="eastAsia"/>
          <w:bCs/>
          <w:lang w:eastAsia="zh-CN"/>
        </w:rPr>
        <w:t>t</w:t>
      </w:r>
      <w:r w:rsidR="00ED6E59">
        <w:rPr>
          <w:bCs/>
          <w:lang w:eastAsia="zh-CN"/>
        </w:rPr>
        <w:t xml:space="preserve">he separate </w:t>
      </w:r>
      <w:r w:rsidR="002D06AC">
        <w:rPr>
          <w:bCs/>
          <w:lang w:eastAsia="zh-CN"/>
        </w:rPr>
        <w:t>search space set</w:t>
      </w:r>
      <w:r w:rsidR="00ED6E59">
        <w:rPr>
          <w:bCs/>
          <w:lang w:eastAsia="zh-CN"/>
        </w:rPr>
        <w:t xml:space="preserve"> can be configured to RedCap UEs to reduce the PDCCH blocking, but this will shrink time resource for PDSCH/PUSCH for non-RedCap UE since non-RedCap UEs cannot perform rate matching around </w:t>
      </w:r>
      <w:r w:rsidR="008758C5">
        <w:rPr>
          <w:bCs/>
          <w:lang w:eastAsia="zh-CN"/>
        </w:rPr>
        <w:t>a non-configured search space set in idle mode.</w:t>
      </w:r>
    </w:p>
    <w:p w14:paraId="5F263802" w14:textId="256BF2A1" w:rsidR="001C3FF7" w:rsidRPr="008758C5" w:rsidRDefault="008758C5" w:rsidP="00213281">
      <w:pPr>
        <w:rPr>
          <w:bCs/>
          <w:lang w:eastAsia="zh-CN"/>
        </w:rPr>
      </w:pPr>
      <w:r w:rsidRPr="001C3FF7">
        <w:rPr>
          <w:b/>
          <w:bCs/>
          <w:i/>
          <w:lang w:eastAsia="zh-CN"/>
        </w:rPr>
        <w:t xml:space="preserve">Proposal </w:t>
      </w:r>
      <w:r>
        <w:rPr>
          <w:b/>
          <w:bCs/>
          <w:i/>
          <w:lang w:eastAsia="zh-CN"/>
        </w:rPr>
        <w:t>1</w:t>
      </w:r>
      <w:r w:rsidRPr="001C3FF7">
        <w:rPr>
          <w:b/>
          <w:bCs/>
          <w:i/>
          <w:lang w:eastAsia="zh-CN"/>
        </w:rPr>
        <w:t xml:space="preserve">: </w:t>
      </w:r>
      <w:r>
        <w:rPr>
          <w:b/>
          <w:bCs/>
          <w:i/>
          <w:lang w:eastAsia="zh-CN"/>
        </w:rPr>
        <w:t xml:space="preserve">Separate initial DL BWP can be configured to RedCap UE to reduce the PDCCH blocking for coexistence between RedCap UE and </w:t>
      </w:r>
      <w:r w:rsidRPr="00844B21">
        <w:rPr>
          <w:b/>
          <w:bCs/>
          <w:i/>
          <w:lang w:eastAsia="zh-CN"/>
        </w:rPr>
        <w:t>non-RedCap</w:t>
      </w:r>
      <w:r>
        <w:rPr>
          <w:b/>
          <w:bCs/>
          <w:i/>
          <w:lang w:eastAsia="zh-CN"/>
        </w:rPr>
        <w:t xml:space="preserve"> UE</w:t>
      </w:r>
      <w:r w:rsidRPr="001C3FF7">
        <w:rPr>
          <w:b/>
          <w:bCs/>
          <w:i/>
          <w:lang w:eastAsia="zh-CN"/>
        </w:rPr>
        <w:t>.</w:t>
      </w:r>
    </w:p>
    <w:p w14:paraId="2104C0D4" w14:textId="723A2C0E" w:rsidR="00356543" w:rsidRDefault="00356543" w:rsidP="0026438C"/>
    <w:p w14:paraId="1E271F5B" w14:textId="5E294046" w:rsidR="00110260" w:rsidRPr="007E43A9" w:rsidRDefault="00110260" w:rsidP="00110260">
      <w:pPr>
        <w:pStyle w:val="Heading1"/>
        <w:jc w:val="left"/>
        <w:rPr>
          <w:lang w:eastAsia="zh-CN"/>
        </w:rPr>
      </w:pPr>
      <w:r>
        <w:rPr>
          <w:lang w:eastAsia="zh-CN"/>
        </w:rPr>
        <w:t>Low</w:t>
      </w:r>
      <w:r w:rsidR="009907C9">
        <w:rPr>
          <w:lang w:eastAsia="zh-CN"/>
        </w:rPr>
        <w:t>-SE</w:t>
      </w:r>
      <w:r>
        <w:rPr>
          <w:lang w:eastAsia="zh-CN"/>
        </w:rPr>
        <w:t xml:space="preserve"> MCS table</w:t>
      </w:r>
    </w:p>
    <w:p w14:paraId="6F3045E2" w14:textId="5FE0B311" w:rsidR="009907C9" w:rsidRDefault="00110260" w:rsidP="002D6BF7">
      <w:pPr>
        <w:rPr>
          <w:lang w:eastAsia="zh-CN"/>
        </w:rPr>
      </w:pPr>
      <w:r>
        <w:rPr>
          <w:lang w:eastAsia="zh-CN"/>
        </w:rPr>
        <w:t xml:space="preserve">To overcome coverage loss, gNB can schedule RedCap UE with </w:t>
      </w:r>
      <w:r w:rsidR="00877A34">
        <w:rPr>
          <w:lang w:eastAsia="zh-CN"/>
        </w:rPr>
        <w:t xml:space="preserve">the </w:t>
      </w:r>
      <w:r>
        <w:rPr>
          <w:lang w:eastAsia="zh-CN"/>
        </w:rPr>
        <w:t>low</w:t>
      </w:r>
      <w:r w:rsidR="009907C9">
        <w:rPr>
          <w:lang w:eastAsia="zh-CN"/>
        </w:rPr>
        <w:t>-SE</w:t>
      </w:r>
      <w:r>
        <w:rPr>
          <w:lang w:eastAsia="zh-CN"/>
        </w:rPr>
        <w:t xml:space="preserve"> MCS table.</w:t>
      </w:r>
      <w:r w:rsidR="00F63FDE">
        <w:rPr>
          <w:lang w:eastAsia="zh-CN"/>
        </w:rPr>
        <w:t xml:space="preserve"> </w:t>
      </w:r>
      <w:r w:rsidR="009907C9">
        <w:rPr>
          <w:lang w:eastAsia="zh-CN"/>
        </w:rPr>
        <w:t>It was agreed to be an FFS point</w:t>
      </w:r>
      <w:r w:rsidR="00D32263">
        <w:rPr>
          <w:lang w:eastAsia="zh-CN"/>
        </w:rPr>
        <w:t xml:space="preserve"> in RAN1#104e </w:t>
      </w:r>
      <w:r w:rsidR="00D32263" w:rsidRPr="00A811EA">
        <w:rPr>
          <w:lang w:eastAsia="zh-CN"/>
        </w:rPr>
        <w:t>[3]</w:t>
      </w:r>
      <w:r w:rsidR="009907C9" w:rsidRPr="00A811EA">
        <w:rPr>
          <w:lang w:eastAsia="zh-CN"/>
        </w:rPr>
        <w:t>.</w:t>
      </w:r>
    </w:p>
    <w:tbl>
      <w:tblPr>
        <w:tblStyle w:val="TableGrid"/>
        <w:tblW w:w="0" w:type="auto"/>
        <w:tblLook w:val="04A0" w:firstRow="1" w:lastRow="0" w:firstColumn="1" w:lastColumn="0" w:noHBand="0" w:noVBand="1"/>
      </w:tblPr>
      <w:tblGrid>
        <w:gridCol w:w="9307"/>
      </w:tblGrid>
      <w:tr w:rsidR="009907C9" w14:paraId="63DB7B12" w14:textId="77777777" w:rsidTr="009907C9">
        <w:tc>
          <w:tcPr>
            <w:tcW w:w="9307" w:type="dxa"/>
          </w:tcPr>
          <w:p w14:paraId="16A3D272" w14:textId="77777777" w:rsidR="009907C9" w:rsidRPr="009907C9" w:rsidRDefault="009907C9" w:rsidP="009907C9">
            <w:pPr>
              <w:autoSpaceDE/>
              <w:autoSpaceDN/>
              <w:adjustRightInd/>
              <w:snapToGrid/>
              <w:spacing w:after="0"/>
              <w:jc w:val="left"/>
              <w:rPr>
                <w:rFonts w:eastAsia="Batang"/>
                <w:sz w:val="20"/>
                <w:szCs w:val="20"/>
                <w:lang w:val="en-GB"/>
              </w:rPr>
            </w:pPr>
            <w:r w:rsidRPr="009907C9">
              <w:rPr>
                <w:rFonts w:eastAsia="Batang"/>
                <w:sz w:val="20"/>
                <w:szCs w:val="20"/>
                <w:highlight w:val="green"/>
                <w:lang w:val="en-GB"/>
              </w:rPr>
              <w:t>Agreements:</w:t>
            </w:r>
          </w:p>
          <w:p w14:paraId="25CD167D" w14:textId="77777777" w:rsidR="009907C9" w:rsidRPr="009907C9" w:rsidRDefault="009907C9" w:rsidP="009907C9">
            <w:pPr>
              <w:numPr>
                <w:ilvl w:val="0"/>
                <w:numId w:val="23"/>
              </w:numPr>
              <w:autoSpaceDE/>
              <w:autoSpaceDN/>
              <w:adjustRightInd/>
              <w:snapToGrid/>
              <w:spacing w:after="180" w:line="252" w:lineRule="auto"/>
              <w:ind w:left="720"/>
              <w:contextualSpacing/>
              <w:jc w:val="left"/>
              <w:rPr>
                <w:rFonts w:eastAsia="Batang"/>
                <w:sz w:val="20"/>
                <w:szCs w:val="20"/>
                <w:lang w:val="en-GB" w:eastAsia="x-none"/>
              </w:rPr>
            </w:pPr>
            <w:r w:rsidRPr="009907C9">
              <w:rPr>
                <w:rFonts w:eastAsia="Batang"/>
                <w:sz w:val="20"/>
                <w:szCs w:val="20"/>
                <w:lang w:val="en-GB" w:eastAsia="x-none"/>
              </w:rPr>
              <w:t>The MCS tables currently defined are re-used for RedCap UEs</w:t>
            </w:r>
          </w:p>
          <w:p w14:paraId="47E4804B" w14:textId="77777777" w:rsidR="009907C9" w:rsidRPr="009907C9" w:rsidRDefault="009907C9" w:rsidP="009907C9">
            <w:pPr>
              <w:numPr>
                <w:ilvl w:val="1"/>
                <w:numId w:val="23"/>
              </w:numPr>
              <w:autoSpaceDE/>
              <w:autoSpaceDN/>
              <w:adjustRightInd/>
              <w:snapToGrid/>
              <w:spacing w:after="180" w:line="252" w:lineRule="auto"/>
              <w:ind w:left="1440"/>
              <w:contextualSpacing/>
              <w:jc w:val="left"/>
              <w:rPr>
                <w:rFonts w:eastAsia="Batang"/>
                <w:sz w:val="20"/>
                <w:szCs w:val="20"/>
                <w:lang w:val="en-GB" w:eastAsia="x-none"/>
              </w:rPr>
            </w:pPr>
            <w:r w:rsidRPr="009907C9">
              <w:rPr>
                <w:rFonts w:eastAsia="Batang"/>
                <w:sz w:val="20"/>
                <w:szCs w:val="20"/>
                <w:lang w:val="en-GB" w:eastAsia="x-none"/>
              </w:rPr>
              <w:t>FFS which MCS table is the default one for RedCap (i.e., the default one for non-RedCap UEs or the one with low SE entries)</w:t>
            </w:r>
          </w:p>
          <w:p w14:paraId="241A90A5" w14:textId="77777777" w:rsidR="009907C9" w:rsidRPr="009907C9" w:rsidRDefault="009907C9" w:rsidP="009907C9">
            <w:pPr>
              <w:numPr>
                <w:ilvl w:val="1"/>
                <w:numId w:val="23"/>
              </w:numPr>
              <w:autoSpaceDE/>
              <w:autoSpaceDN/>
              <w:adjustRightInd/>
              <w:snapToGrid/>
              <w:spacing w:after="180" w:line="252" w:lineRule="auto"/>
              <w:ind w:left="1440"/>
              <w:contextualSpacing/>
              <w:jc w:val="left"/>
              <w:rPr>
                <w:rFonts w:eastAsia="Batang"/>
                <w:sz w:val="20"/>
                <w:szCs w:val="20"/>
                <w:lang w:val="en-GB" w:eastAsia="x-none"/>
              </w:rPr>
            </w:pPr>
            <w:r w:rsidRPr="009907C9">
              <w:rPr>
                <w:rFonts w:eastAsia="Batang"/>
                <w:sz w:val="20"/>
                <w:szCs w:val="20"/>
                <w:lang w:val="en-GB" w:eastAsia="x-none"/>
              </w:rPr>
              <w:t>FFS mandatory/optional of the MCS tables</w:t>
            </w:r>
          </w:p>
          <w:p w14:paraId="6FBA9463" w14:textId="20F0D563" w:rsidR="009907C9" w:rsidRPr="009907C9" w:rsidRDefault="009907C9" w:rsidP="002D6BF7">
            <w:pPr>
              <w:numPr>
                <w:ilvl w:val="1"/>
                <w:numId w:val="23"/>
              </w:numPr>
              <w:autoSpaceDE/>
              <w:autoSpaceDN/>
              <w:adjustRightInd/>
              <w:snapToGrid/>
              <w:spacing w:after="180" w:line="252" w:lineRule="auto"/>
              <w:ind w:left="1440"/>
              <w:contextualSpacing/>
              <w:jc w:val="left"/>
              <w:rPr>
                <w:rFonts w:eastAsia="Batang"/>
                <w:sz w:val="20"/>
                <w:szCs w:val="20"/>
                <w:lang w:val="en-GB" w:eastAsia="x-none"/>
              </w:rPr>
            </w:pPr>
            <w:r w:rsidRPr="009907C9">
              <w:rPr>
                <w:rFonts w:eastAsia="Batang"/>
                <w:sz w:val="20"/>
                <w:szCs w:val="20"/>
                <w:lang w:val="en-GB" w:eastAsia="x-none"/>
              </w:rPr>
              <w:t>Note: there is no new MCS table to be introduced for RedCap UEs</w:t>
            </w:r>
          </w:p>
        </w:tc>
      </w:tr>
    </w:tbl>
    <w:p w14:paraId="3FE0C8C8" w14:textId="4025AA7A" w:rsidR="00597AE2" w:rsidRDefault="00F63FDE" w:rsidP="002D6BF7">
      <w:pPr>
        <w:rPr>
          <w:lang w:eastAsia="zh-CN"/>
        </w:rPr>
      </w:pPr>
      <w:r>
        <w:rPr>
          <w:lang w:eastAsia="zh-CN"/>
        </w:rPr>
        <w:t>Currently, the low</w:t>
      </w:r>
      <w:r w:rsidR="009907C9">
        <w:rPr>
          <w:lang w:eastAsia="zh-CN"/>
        </w:rPr>
        <w:t>-SE</w:t>
      </w:r>
      <w:r>
        <w:rPr>
          <w:lang w:eastAsia="zh-CN"/>
        </w:rPr>
        <w:t xml:space="preserve"> MCS table is optional for legacy UE as shown in TS 38.306.</w:t>
      </w:r>
    </w:p>
    <w:tbl>
      <w:tblPr>
        <w:tblW w:w="931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690"/>
        <w:gridCol w:w="685"/>
        <w:gridCol w:w="548"/>
        <w:gridCol w:w="685"/>
        <w:gridCol w:w="704"/>
      </w:tblGrid>
      <w:tr w:rsidR="00844B21" w:rsidRPr="00F11278" w14:paraId="68E71C7C" w14:textId="77777777" w:rsidTr="00844B21">
        <w:trPr>
          <w:cantSplit/>
          <w:trHeight w:val="520"/>
          <w:tblHeader/>
        </w:trPr>
        <w:tc>
          <w:tcPr>
            <w:tcW w:w="6690" w:type="dxa"/>
            <w:tcBorders>
              <w:top w:val="single" w:sz="4" w:space="0" w:color="808080"/>
              <w:left w:val="single" w:sz="4" w:space="0" w:color="808080"/>
              <w:bottom w:val="single" w:sz="4" w:space="0" w:color="808080"/>
              <w:right w:val="single" w:sz="4" w:space="0" w:color="808080"/>
            </w:tcBorders>
          </w:tcPr>
          <w:p w14:paraId="1D26D00F" w14:textId="77777777" w:rsidR="00844B21" w:rsidRPr="00844B21" w:rsidRDefault="00844B21" w:rsidP="00844B21">
            <w:pPr>
              <w:pStyle w:val="TAL"/>
              <w:rPr>
                <w:rFonts w:cs="Arial"/>
                <w:b/>
                <w:i/>
                <w:szCs w:val="18"/>
              </w:rPr>
            </w:pPr>
            <w:r w:rsidRPr="00844B21">
              <w:rPr>
                <w:rFonts w:cs="Arial"/>
                <w:b/>
                <w:i/>
                <w:szCs w:val="18"/>
              </w:rPr>
              <w:t>Definitions for parameters</w:t>
            </w:r>
          </w:p>
        </w:tc>
        <w:tc>
          <w:tcPr>
            <w:tcW w:w="685" w:type="dxa"/>
            <w:tcBorders>
              <w:top w:val="single" w:sz="4" w:space="0" w:color="808080"/>
              <w:left w:val="single" w:sz="4" w:space="0" w:color="808080"/>
              <w:bottom w:val="single" w:sz="4" w:space="0" w:color="808080"/>
              <w:right w:val="single" w:sz="4" w:space="0" w:color="808080"/>
            </w:tcBorders>
          </w:tcPr>
          <w:p w14:paraId="750888EB" w14:textId="77777777" w:rsidR="00844B21" w:rsidRPr="00844B21" w:rsidRDefault="00844B21" w:rsidP="00844B21">
            <w:pPr>
              <w:pStyle w:val="TAL"/>
              <w:rPr>
                <w:rFonts w:cs="Arial"/>
                <w:szCs w:val="18"/>
              </w:rPr>
            </w:pPr>
            <w:r w:rsidRPr="00844B21">
              <w:rPr>
                <w:rFonts w:cs="Arial"/>
                <w:szCs w:val="18"/>
              </w:rPr>
              <w:t>Per</w:t>
            </w:r>
          </w:p>
        </w:tc>
        <w:tc>
          <w:tcPr>
            <w:tcW w:w="548" w:type="dxa"/>
            <w:tcBorders>
              <w:top w:val="single" w:sz="4" w:space="0" w:color="808080"/>
              <w:left w:val="single" w:sz="4" w:space="0" w:color="808080"/>
              <w:bottom w:val="single" w:sz="4" w:space="0" w:color="808080"/>
              <w:right w:val="single" w:sz="4" w:space="0" w:color="808080"/>
            </w:tcBorders>
          </w:tcPr>
          <w:p w14:paraId="6379856C" w14:textId="77777777" w:rsidR="00844B21" w:rsidRPr="00844B21" w:rsidRDefault="00844B21" w:rsidP="00844B21">
            <w:pPr>
              <w:pStyle w:val="TAL"/>
              <w:rPr>
                <w:rFonts w:cs="Arial"/>
                <w:szCs w:val="18"/>
                <w:highlight w:val="yellow"/>
              </w:rPr>
            </w:pPr>
            <w:r w:rsidRPr="00844B21">
              <w:rPr>
                <w:rFonts w:cs="Arial"/>
                <w:szCs w:val="18"/>
                <w:highlight w:val="yellow"/>
              </w:rPr>
              <w:t>M</w:t>
            </w:r>
          </w:p>
        </w:tc>
        <w:tc>
          <w:tcPr>
            <w:tcW w:w="685" w:type="dxa"/>
            <w:tcBorders>
              <w:top w:val="single" w:sz="4" w:space="0" w:color="808080"/>
              <w:left w:val="single" w:sz="4" w:space="0" w:color="808080"/>
              <w:bottom w:val="single" w:sz="4" w:space="0" w:color="808080"/>
              <w:right w:val="single" w:sz="4" w:space="0" w:color="808080"/>
            </w:tcBorders>
          </w:tcPr>
          <w:p w14:paraId="4800695C" w14:textId="77777777" w:rsidR="00844B21" w:rsidRPr="00844B21" w:rsidRDefault="00844B21" w:rsidP="00844B21">
            <w:pPr>
              <w:pStyle w:val="TAL"/>
              <w:rPr>
                <w:rFonts w:cs="Arial"/>
                <w:szCs w:val="18"/>
              </w:rPr>
            </w:pPr>
            <w:r w:rsidRPr="00844B21">
              <w:rPr>
                <w:rFonts w:cs="Arial"/>
                <w:szCs w:val="18"/>
              </w:rPr>
              <w:t>FDD-TDD</w:t>
            </w:r>
          </w:p>
          <w:p w14:paraId="52D6C231" w14:textId="77777777" w:rsidR="00844B21" w:rsidRPr="00844B21" w:rsidRDefault="00844B21" w:rsidP="00844B21">
            <w:pPr>
              <w:pStyle w:val="TAL"/>
              <w:rPr>
                <w:rFonts w:cs="Arial"/>
                <w:szCs w:val="18"/>
              </w:rPr>
            </w:pPr>
            <w:r w:rsidRPr="00844B21">
              <w:rPr>
                <w:rFonts w:cs="Arial"/>
                <w:szCs w:val="18"/>
              </w:rPr>
              <w:t>DIFF</w:t>
            </w:r>
          </w:p>
        </w:tc>
        <w:tc>
          <w:tcPr>
            <w:tcW w:w="704" w:type="dxa"/>
            <w:tcBorders>
              <w:top w:val="single" w:sz="4" w:space="0" w:color="808080"/>
              <w:left w:val="single" w:sz="4" w:space="0" w:color="808080"/>
              <w:bottom w:val="single" w:sz="4" w:space="0" w:color="808080"/>
              <w:right w:val="single" w:sz="4" w:space="0" w:color="808080"/>
            </w:tcBorders>
          </w:tcPr>
          <w:p w14:paraId="13E4AE7D" w14:textId="77777777" w:rsidR="00844B21" w:rsidRPr="00844B21" w:rsidRDefault="00844B21" w:rsidP="00844B21">
            <w:pPr>
              <w:pStyle w:val="TAL"/>
              <w:rPr>
                <w:rFonts w:cs="Arial"/>
                <w:szCs w:val="18"/>
              </w:rPr>
            </w:pPr>
            <w:r w:rsidRPr="00844B21">
              <w:rPr>
                <w:rFonts w:cs="Arial"/>
                <w:szCs w:val="18"/>
              </w:rPr>
              <w:t>FR1-FR2</w:t>
            </w:r>
          </w:p>
          <w:p w14:paraId="4706BF56" w14:textId="77777777" w:rsidR="00844B21" w:rsidRPr="00844B21" w:rsidRDefault="00844B21" w:rsidP="00844B21">
            <w:pPr>
              <w:pStyle w:val="TAL"/>
              <w:rPr>
                <w:rFonts w:cs="Arial"/>
                <w:szCs w:val="18"/>
              </w:rPr>
            </w:pPr>
            <w:r w:rsidRPr="00844B21">
              <w:rPr>
                <w:rFonts w:cs="Arial"/>
                <w:szCs w:val="18"/>
              </w:rPr>
              <w:t>DIFF</w:t>
            </w:r>
          </w:p>
        </w:tc>
      </w:tr>
      <w:tr w:rsidR="00F63FDE" w:rsidRPr="00F11278" w14:paraId="35C67541" w14:textId="77777777" w:rsidTr="00844B21">
        <w:trPr>
          <w:cantSplit/>
          <w:trHeight w:val="520"/>
          <w:tblHeader/>
        </w:trPr>
        <w:tc>
          <w:tcPr>
            <w:tcW w:w="6690" w:type="dxa"/>
          </w:tcPr>
          <w:p w14:paraId="79DC6D4B" w14:textId="77777777" w:rsidR="00F63FDE" w:rsidRPr="00F11278" w:rsidRDefault="00F63FDE" w:rsidP="00D90371">
            <w:pPr>
              <w:pStyle w:val="TAL"/>
              <w:rPr>
                <w:rFonts w:cs="Arial"/>
                <w:b/>
                <w:i/>
                <w:szCs w:val="18"/>
              </w:rPr>
            </w:pPr>
            <w:r w:rsidRPr="00F11278">
              <w:rPr>
                <w:rFonts w:cs="Arial"/>
                <w:b/>
                <w:i/>
                <w:szCs w:val="18"/>
              </w:rPr>
              <w:t>dl-64QAM-MCS-TableAlt</w:t>
            </w:r>
          </w:p>
          <w:p w14:paraId="1859C332" w14:textId="77777777" w:rsidR="00F63FDE" w:rsidRPr="00F11278" w:rsidRDefault="00F63FDE" w:rsidP="00D90371">
            <w:pPr>
              <w:pStyle w:val="TAL"/>
              <w:rPr>
                <w:rFonts w:cs="Arial"/>
                <w:szCs w:val="18"/>
              </w:rPr>
            </w:pPr>
            <w:r w:rsidRPr="00F11278">
              <w:rPr>
                <w:rFonts w:cs="Arial"/>
                <w:szCs w:val="18"/>
              </w:rPr>
              <w:t>Indicates whether the UE supports the alternative 64QAM MCS table for PDSCH.</w:t>
            </w:r>
          </w:p>
        </w:tc>
        <w:tc>
          <w:tcPr>
            <w:tcW w:w="685" w:type="dxa"/>
          </w:tcPr>
          <w:p w14:paraId="46A20CD6" w14:textId="77777777" w:rsidR="00F63FDE" w:rsidRPr="00F11278" w:rsidRDefault="00F63FDE" w:rsidP="00D90371">
            <w:pPr>
              <w:pStyle w:val="TAL"/>
              <w:jc w:val="center"/>
              <w:rPr>
                <w:rFonts w:cs="Arial"/>
                <w:szCs w:val="18"/>
              </w:rPr>
            </w:pPr>
            <w:r w:rsidRPr="00F11278">
              <w:rPr>
                <w:rFonts w:cs="Arial"/>
                <w:szCs w:val="18"/>
              </w:rPr>
              <w:t>UE</w:t>
            </w:r>
          </w:p>
        </w:tc>
        <w:tc>
          <w:tcPr>
            <w:tcW w:w="548" w:type="dxa"/>
          </w:tcPr>
          <w:p w14:paraId="51D34602" w14:textId="77777777" w:rsidR="00F63FDE" w:rsidRPr="00F11278" w:rsidRDefault="00F63FDE" w:rsidP="00D90371">
            <w:pPr>
              <w:pStyle w:val="TAL"/>
              <w:jc w:val="center"/>
              <w:rPr>
                <w:rFonts w:cs="Arial"/>
                <w:szCs w:val="18"/>
              </w:rPr>
            </w:pPr>
            <w:r w:rsidRPr="00F63FDE">
              <w:rPr>
                <w:rFonts w:cs="Arial"/>
                <w:szCs w:val="18"/>
                <w:highlight w:val="yellow"/>
              </w:rPr>
              <w:t>No</w:t>
            </w:r>
          </w:p>
        </w:tc>
        <w:tc>
          <w:tcPr>
            <w:tcW w:w="685" w:type="dxa"/>
          </w:tcPr>
          <w:p w14:paraId="31319385" w14:textId="77777777" w:rsidR="00F63FDE" w:rsidRPr="00F11278" w:rsidRDefault="00F63FDE" w:rsidP="00D90371">
            <w:pPr>
              <w:pStyle w:val="TAL"/>
              <w:jc w:val="center"/>
              <w:rPr>
                <w:rFonts w:cs="Arial"/>
                <w:szCs w:val="18"/>
              </w:rPr>
            </w:pPr>
            <w:r w:rsidRPr="00F11278">
              <w:rPr>
                <w:rFonts w:cs="Arial"/>
                <w:szCs w:val="18"/>
              </w:rPr>
              <w:t>No</w:t>
            </w:r>
          </w:p>
        </w:tc>
        <w:tc>
          <w:tcPr>
            <w:tcW w:w="704" w:type="dxa"/>
          </w:tcPr>
          <w:p w14:paraId="55F51228" w14:textId="77777777" w:rsidR="00F63FDE" w:rsidRPr="00F11278" w:rsidRDefault="00F63FDE" w:rsidP="00D90371">
            <w:pPr>
              <w:pStyle w:val="TAL"/>
              <w:jc w:val="center"/>
              <w:rPr>
                <w:rFonts w:cs="Arial"/>
                <w:szCs w:val="18"/>
              </w:rPr>
            </w:pPr>
            <w:r w:rsidRPr="00F11278">
              <w:rPr>
                <w:rFonts w:cs="Arial"/>
                <w:szCs w:val="18"/>
              </w:rPr>
              <w:t>Yes</w:t>
            </w:r>
          </w:p>
        </w:tc>
      </w:tr>
    </w:tbl>
    <w:p w14:paraId="45FB7F64" w14:textId="3C839F7E" w:rsidR="00110260" w:rsidRDefault="00110260" w:rsidP="002D6BF7">
      <w:pPr>
        <w:rPr>
          <w:lang w:eastAsia="zh-CN"/>
        </w:rPr>
      </w:pPr>
      <w:r>
        <w:rPr>
          <w:lang w:eastAsia="zh-CN"/>
        </w:rPr>
        <w:t xml:space="preserve">For </w:t>
      </w:r>
      <w:r w:rsidR="00877A34">
        <w:rPr>
          <w:lang w:eastAsia="zh-CN"/>
        </w:rPr>
        <w:t>connected mode, gNB can configure the low</w:t>
      </w:r>
      <w:r w:rsidR="009907C9">
        <w:rPr>
          <w:lang w:eastAsia="zh-CN"/>
        </w:rPr>
        <w:t>-SE</w:t>
      </w:r>
      <w:r w:rsidR="00877A34">
        <w:rPr>
          <w:lang w:eastAsia="zh-CN"/>
        </w:rPr>
        <w:t xml:space="preserve"> MCS table to</w:t>
      </w:r>
      <w:r>
        <w:rPr>
          <w:lang w:eastAsia="zh-CN"/>
        </w:rPr>
        <w:t xml:space="preserve"> RedCap UE with capability of </w:t>
      </w:r>
      <w:r w:rsidR="00877A34">
        <w:rPr>
          <w:lang w:eastAsia="zh-CN"/>
        </w:rPr>
        <w:t xml:space="preserve">the </w:t>
      </w:r>
      <w:r>
        <w:rPr>
          <w:lang w:eastAsia="zh-CN"/>
        </w:rPr>
        <w:t>l</w:t>
      </w:r>
      <w:r w:rsidR="00877A34">
        <w:rPr>
          <w:lang w:eastAsia="zh-CN"/>
        </w:rPr>
        <w:t>ow</w:t>
      </w:r>
      <w:r w:rsidR="009907C9">
        <w:rPr>
          <w:lang w:eastAsia="zh-CN"/>
        </w:rPr>
        <w:t>-SE</w:t>
      </w:r>
      <w:r w:rsidR="00877A34">
        <w:rPr>
          <w:lang w:eastAsia="zh-CN"/>
        </w:rPr>
        <w:t xml:space="preserve"> MCS table. There is no specification impact.</w:t>
      </w:r>
    </w:p>
    <w:p w14:paraId="73E1126B" w14:textId="02057247" w:rsidR="006F6C99" w:rsidRDefault="00877A34" w:rsidP="002D6BF7">
      <w:pPr>
        <w:rPr>
          <w:lang w:eastAsia="zh-CN"/>
        </w:rPr>
      </w:pPr>
      <w:r>
        <w:rPr>
          <w:lang w:eastAsia="zh-CN"/>
        </w:rPr>
        <w:t xml:space="preserve">For idle mode, </w:t>
      </w:r>
      <w:r w:rsidR="006F6C99">
        <w:rPr>
          <w:lang w:eastAsia="zh-CN"/>
        </w:rPr>
        <w:t xml:space="preserve">according to coverage recovery discussion in SI stage, Msg2/4 may need the coverage compensation (e.g. with the low-SE MCS table), so using the low-SE MCS table may be more critical for RedCap UE in idle mode. It is better that </w:t>
      </w:r>
      <w:r>
        <w:rPr>
          <w:lang w:eastAsia="zh-CN"/>
        </w:rPr>
        <w:t>gNB knows the RedCap UE capability of the low</w:t>
      </w:r>
      <w:r w:rsidR="009907C9">
        <w:rPr>
          <w:lang w:eastAsia="zh-CN"/>
        </w:rPr>
        <w:t>-SE</w:t>
      </w:r>
      <w:r>
        <w:rPr>
          <w:lang w:eastAsia="zh-CN"/>
        </w:rPr>
        <w:t xml:space="preserve"> MCS table</w:t>
      </w:r>
      <w:r w:rsidR="006F6C99">
        <w:rPr>
          <w:lang w:eastAsia="zh-CN"/>
        </w:rPr>
        <w:t xml:space="preserve"> and schedule Msg2/4 with the low-SE MCS table</w:t>
      </w:r>
      <w:r>
        <w:rPr>
          <w:lang w:eastAsia="zh-CN"/>
        </w:rPr>
        <w:t xml:space="preserve">. </w:t>
      </w:r>
    </w:p>
    <w:p w14:paraId="1467B4AC" w14:textId="77777777" w:rsidR="00A811EA" w:rsidRDefault="00A811EA" w:rsidP="00A811EA">
      <w:pPr>
        <w:rPr>
          <w:b/>
          <w:bCs/>
          <w:i/>
          <w:lang w:eastAsia="zh-CN"/>
        </w:rPr>
      </w:pPr>
      <w:r w:rsidRPr="001C3FF7">
        <w:rPr>
          <w:b/>
          <w:bCs/>
          <w:i/>
          <w:lang w:eastAsia="zh-CN"/>
        </w:rPr>
        <w:t xml:space="preserve">Proposal </w:t>
      </w:r>
      <w:r>
        <w:rPr>
          <w:b/>
          <w:bCs/>
          <w:i/>
          <w:lang w:eastAsia="zh-CN"/>
        </w:rPr>
        <w:t>2</w:t>
      </w:r>
      <w:r w:rsidRPr="001C3FF7">
        <w:rPr>
          <w:b/>
          <w:bCs/>
          <w:i/>
          <w:lang w:eastAsia="zh-CN"/>
        </w:rPr>
        <w:t xml:space="preserve">: </w:t>
      </w:r>
      <w:r>
        <w:rPr>
          <w:b/>
          <w:bCs/>
          <w:i/>
          <w:lang w:eastAsia="zh-CN"/>
        </w:rPr>
        <w:t xml:space="preserve">gNB should know the RedCap UE capability of the low-SE MCS table as early as possible, e.g.  RACH procedure. </w:t>
      </w:r>
    </w:p>
    <w:p w14:paraId="3602DD79" w14:textId="7AF5CD97" w:rsidR="00877A34" w:rsidRDefault="00A811EA" w:rsidP="002D6BF7">
      <w:pPr>
        <w:rPr>
          <w:lang w:eastAsia="zh-CN"/>
        </w:rPr>
      </w:pPr>
      <w:r>
        <w:rPr>
          <w:rFonts w:hint="eastAsia"/>
          <w:lang w:eastAsia="zh-CN"/>
        </w:rPr>
        <w:t>A</w:t>
      </w:r>
      <w:r>
        <w:rPr>
          <w:lang w:eastAsia="zh-CN"/>
        </w:rPr>
        <w:t>s another alternative of specification</w:t>
      </w:r>
      <w:r w:rsidR="006F6C99">
        <w:rPr>
          <w:lang w:eastAsia="zh-CN"/>
        </w:rPr>
        <w:t>, capability of the low-SE MCS table can be mandatory for RedCap UE.</w:t>
      </w:r>
    </w:p>
    <w:p w14:paraId="2A7653AC" w14:textId="11C1090B" w:rsidR="00877A34" w:rsidRPr="00877A34" w:rsidRDefault="00032E03" w:rsidP="002D6BF7">
      <w:pPr>
        <w:rPr>
          <w:b/>
          <w:bCs/>
          <w:i/>
          <w:lang w:eastAsia="zh-CN"/>
        </w:rPr>
      </w:pPr>
      <w:r>
        <w:rPr>
          <w:rFonts w:hint="eastAsia"/>
          <w:b/>
          <w:bCs/>
          <w:i/>
          <w:lang w:eastAsia="zh-CN"/>
        </w:rPr>
        <w:t>Proposal</w:t>
      </w:r>
      <w:r>
        <w:rPr>
          <w:b/>
          <w:bCs/>
          <w:i/>
          <w:lang w:eastAsia="zh-CN"/>
        </w:rPr>
        <w:t xml:space="preserve"> </w:t>
      </w:r>
      <w:r>
        <w:rPr>
          <w:rFonts w:hint="eastAsia"/>
          <w:b/>
          <w:bCs/>
          <w:i/>
          <w:lang w:eastAsia="zh-CN"/>
        </w:rPr>
        <w:t>3</w:t>
      </w:r>
      <w:r>
        <w:rPr>
          <w:b/>
          <w:bCs/>
          <w:i/>
          <w:lang w:eastAsia="zh-CN"/>
        </w:rPr>
        <w:t>: C</w:t>
      </w:r>
      <w:r w:rsidR="00877A34">
        <w:rPr>
          <w:b/>
          <w:bCs/>
          <w:i/>
          <w:lang w:eastAsia="zh-CN"/>
        </w:rPr>
        <w:t>apability of the low</w:t>
      </w:r>
      <w:r w:rsidR="009907C9">
        <w:rPr>
          <w:b/>
          <w:bCs/>
          <w:i/>
          <w:lang w:eastAsia="zh-CN"/>
        </w:rPr>
        <w:t>-SE</w:t>
      </w:r>
      <w:r w:rsidR="00877A34">
        <w:rPr>
          <w:b/>
          <w:bCs/>
          <w:i/>
          <w:lang w:eastAsia="zh-CN"/>
        </w:rPr>
        <w:t xml:space="preserve"> MCS table </w:t>
      </w:r>
      <w:r w:rsidR="004F77A3">
        <w:rPr>
          <w:b/>
          <w:bCs/>
          <w:i/>
          <w:lang w:eastAsia="zh-CN"/>
        </w:rPr>
        <w:t xml:space="preserve">is </w:t>
      </w:r>
      <w:r w:rsidR="00877A34">
        <w:rPr>
          <w:b/>
          <w:bCs/>
          <w:i/>
          <w:lang w:eastAsia="zh-CN"/>
        </w:rPr>
        <w:t>mandatory for RedCap UE.</w:t>
      </w:r>
    </w:p>
    <w:p w14:paraId="7B4C5433" w14:textId="77777777" w:rsidR="00110260" w:rsidRPr="00754D04" w:rsidRDefault="00110260" w:rsidP="002D6BF7"/>
    <w:p w14:paraId="1B27FFF9" w14:textId="77777777" w:rsidR="005A5409" w:rsidRDefault="005A5409" w:rsidP="0057091E">
      <w:pPr>
        <w:pStyle w:val="Heading1"/>
        <w:spacing w:after="100"/>
        <w:rPr>
          <w:lang w:eastAsia="zh-CN"/>
        </w:rPr>
      </w:pPr>
      <w:bookmarkStart w:id="9" w:name="_Ref494215420"/>
      <w:bookmarkStart w:id="10" w:name="_Ref502921678"/>
      <w:bookmarkStart w:id="11" w:name="_Ref502921460"/>
      <w:r>
        <w:rPr>
          <w:lang w:eastAsia="zh-CN"/>
        </w:rPr>
        <w:t>Conclusion</w:t>
      </w:r>
    </w:p>
    <w:p w14:paraId="0232BE4D" w14:textId="2447FAE8" w:rsidR="005A5409" w:rsidRDefault="005A5409" w:rsidP="0057091E">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w:t>
      </w:r>
      <w:r w:rsidR="002517C0">
        <w:rPr>
          <w:lang w:eastAsia="zh-CN"/>
        </w:rPr>
        <w:t xml:space="preserve"> </w:t>
      </w:r>
      <w:r>
        <w:rPr>
          <w:lang w:eastAsia="zh-CN"/>
        </w:rPr>
        <w:t>proposals:</w:t>
      </w:r>
    </w:p>
    <w:p w14:paraId="1543255F" w14:textId="77777777" w:rsidR="008758C5" w:rsidRPr="008758C5" w:rsidRDefault="008758C5" w:rsidP="008758C5">
      <w:pPr>
        <w:rPr>
          <w:bCs/>
          <w:lang w:eastAsia="zh-CN"/>
        </w:rPr>
      </w:pPr>
      <w:r w:rsidRPr="001C3FF7">
        <w:rPr>
          <w:b/>
          <w:bCs/>
          <w:i/>
          <w:lang w:eastAsia="zh-CN"/>
        </w:rPr>
        <w:t xml:space="preserve">Proposal </w:t>
      </w:r>
      <w:r>
        <w:rPr>
          <w:b/>
          <w:bCs/>
          <w:i/>
          <w:lang w:eastAsia="zh-CN"/>
        </w:rPr>
        <w:t>1</w:t>
      </w:r>
      <w:r w:rsidRPr="001C3FF7">
        <w:rPr>
          <w:b/>
          <w:bCs/>
          <w:i/>
          <w:lang w:eastAsia="zh-CN"/>
        </w:rPr>
        <w:t xml:space="preserve">: </w:t>
      </w:r>
      <w:r>
        <w:rPr>
          <w:b/>
          <w:bCs/>
          <w:i/>
          <w:lang w:eastAsia="zh-CN"/>
        </w:rPr>
        <w:t xml:space="preserve">Separate initial DL BWP can be configured to RedCap UE to reduce the PDCCH blocking for coexistence between RedCap UE and </w:t>
      </w:r>
      <w:r w:rsidRPr="00844B21">
        <w:rPr>
          <w:b/>
          <w:bCs/>
          <w:i/>
          <w:lang w:eastAsia="zh-CN"/>
        </w:rPr>
        <w:t>non-RedCap</w:t>
      </w:r>
      <w:r>
        <w:rPr>
          <w:b/>
          <w:bCs/>
          <w:i/>
          <w:lang w:eastAsia="zh-CN"/>
        </w:rPr>
        <w:t xml:space="preserve"> UE</w:t>
      </w:r>
      <w:r w:rsidRPr="001C3FF7">
        <w:rPr>
          <w:b/>
          <w:bCs/>
          <w:i/>
          <w:lang w:eastAsia="zh-CN"/>
        </w:rPr>
        <w:t>.</w:t>
      </w:r>
    </w:p>
    <w:p w14:paraId="49A382EE" w14:textId="77777777" w:rsidR="00032E03" w:rsidRDefault="00032E03" w:rsidP="00032E03">
      <w:pPr>
        <w:rPr>
          <w:b/>
          <w:bCs/>
          <w:i/>
          <w:lang w:eastAsia="zh-CN"/>
        </w:rPr>
      </w:pPr>
      <w:r w:rsidRPr="001C3FF7">
        <w:rPr>
          <w:b/>
          <w:bCs/>
          <w:i/>
          <w:lang w:eastAsia="zh-CN"/>
        </w:rPr>
        <w:lastRenderedPageBreak/>
        <w:t xml:space="preserve">Proposal </w:t>
      </w:r>
      <w:r>
        <w:rPr>
          <w:b/>
          <w:bCs/>
          <w:i/>
          <w:lang w:eastAsia="zh-CN"/>
        </w:rPr>
        <w:t>2</w:t>
      </w:r>
      <w:r w:rsidRPr="001C3FF7">
        <w:rPr>
          <w:b/>
          <w:bCs/>
          <w:i/>
          <w:lang w:eastAsia="zh-CN"/>
        </w:rPr>
        <w:t xml:space="preserve">: </w:t>
      </w:r>
      <w:r>
        <w:rPr>
          <w:b/>
          <w:bCs/>
          <w:i/>
          <w:lang w:eastAsia="zh-CN"/>
        </w:rPr>
        <w:t xml:space="preserve">gNB should know the RedCap UE capability of the low-SE MCS table as early as possible, e.g.  RACH procedure. </w:t>
      </w:r>
    </w:p>
    <w:p w14:paraId="20E2D1A2" w14:textId="77777777" w:rsidR="00032E03" w:rsidRPr="00877A34" w:rsidRDefault="00032E03" w:rsidP="00032E03">
      <w:pPr>
        <w:rPr>
          <w:b/>
          <w:bCs/>
          <w:i/>
          <w:lang w:eastAsia="zh-CN"/>
        </w:rPr>
      </w:pPr>
      <w:r>
        <w:rPr>
          <w:rFonts w:hint="eastAsia"/>
          <w:b/>
          <w:bCs/>
          <w:i/>
          <w:lang w:eastAsia="zh-CN"/>
        </w:rPr>
        <w:t>Proposal</w:t>
      </w:r>
      <w:r>
        <w:rPr>
          <w:b/>
          <w:bCs/>
          <w:i/>
          <w:lang w:eastAsia="zh-CN"/>
        </w:rPr>
        <w:t xml:space="preserve"> </w:t>
      </w:r>
      <w:r>
        <w:rPr>
          <w:rFonts w:hint="eastAsia"/>
          <w:b/>
          <w:bCs/>
          <w:i/>
          <w:lang w:eastAsia="zh-CN"/>
        </w:rPr>
        <w:t>3</w:t>
      </w:r>
      <w:r>
        <w:rPr>
          <w:b/>
          <w:bCs/>
          <w:i/>
          <w:lang w:eastAsia="zh-CN"/>
        </w:rPr>
        <w:t>: Capability of the low-SE MCS table is mandatory for RedCap UE.</w:t>
      </w:r>
    </w:p>
    <w:p w14:paraId="22AFDA43" w14:textId="77777777" w:rsidR="00BD40FC" w:rsidRPr="00032E03" w:rsidRDefault="00BD40FC" w:rsidP="0057091E">
      <w:pPr>
        <w:spacing w:after="100"/>
        <w:rPr>
          <w:lang w:eastAsia="zh-CN"/>
        </w:rPr>
      </w:pPr>
    </w:p>
    <w:p w14:paraId="500DACF0" w14:textId="77777777" w:rsidR="003531CC" w:rsidRPr="00DA69E3" w:rsidRDefault="003531CC" w:rsidP="0057091E">
      <w:pPr>
        <w:pStyle w:val="Heading1"/>
        <w:spacing w:after="100"/>
        <w:rPr>
          <w:lang w:eastAsia="zh-CN"/>
        </w:rPr>
      </w:pPr>
      <w:r w:rsidRPr="00DA69E3">
        <w:rPr>
          <w:lang w:eastAsia="zh-CN"/>
        </w:rPr>
        <w:t xml:space="preserve">Reference </w:t>
      </w:r>
    </w:p>
    <w:bookmarkEnd w:id="9"/>
    <w:bookmarkEnd w:id="10"/>
    <w:bookmarkEnd w:id="11"/>
    <w:p w14:paraId="0A39E53B" w14:textId="1DE87205" w:rsidR="00EF17A8" w:rsidRPr="009E1225" w:rsidRDefault="009E1225" w:rsidP="00832FA1">
      <w:pPr>
        <w:pStyle w:val="ListParagraph"/>
        <w:numPr>
          <w:ilvl w:val="0"/>
          <w:numId w:val="6"/>
        </w:numPr>
        <w:ind w:firstLineChars="0"/>
        <w:rPr>
          <w:lang w:eastAsia="zh-CN"/>
        </w:rPr>
      </w:pPr>
      <w:r w:rsidRPr="009E1225">
        <w:rPr>
          <w:lang w:eastAsia="zh-CN"/>
        </w:rPr>
        <w:t>RP-210918</w:t>
      </w:r>
      <w:r w:rsidR="00034E67" w:rsidRPr="009E1225">
        <w:rPr>
          <w:lang w:eastAsia="zh-CN"/>
        </w:rPr>
        <w:t xml:space="preserve">, </w:t>
      </w:r>
      <w:r w:rsidRPr="009E1225">
        <w:rPr>
          <w:lang w:eastAsia="zh-CN"/>
        </w:rPr>
        <w:t xml:space="preserve">Revised WID on support of reduced capability NR devices, Nokia, Ericsson, </w:t>
      </w:r>
      <w:r w:rsidR="00632727">
        <w:rPr>
          <w:lang w:eastAsia="zh-CN"/>
        </w:rPr>
        <w:t xml:space="preserve">March </w:t>
      </w:r>
      <w:r w:rsidRPr="009E1225">
        <w:rPr>
          <w:lang w:eastAsia="zh-CN"/>
        </w:rPr>
        <w:t xml:space="preserve">22nd </w:t>
      </w:r>
      <w:r w:rsidR="00226C5A">
        <w:rPr>
          <w:lang w:eastAsia="zh-CN"/>
        </w:rPr>
        <w:t xml:space="preserve">- </w:t>
      </w:r>
      <w:r w:rsidR="00632727">
        <w:rPr>
          <w:lang w:eastAsia="zh-CN"/>
        </w:rPr>
        <w:t xml:space="preserve">March </w:t>
      </w:r>
      <w:r w:rsidRPr="009E1225">
        <w:rPr>
          <w:lang w:eastAsia="zh-CN"/>
        </w:rPr>
        <w:t>26th, 2021</w:t>
      </w:r>
    </w:p>
    <w:p w14:paraId="30D26EE9" w14:textId="543F74F9" w:rsidR="00632727" w:rsidRPr="00B34750" w:rsidRDefault="00632727" w:rsidP="00632727">
      <w:pPr>
        <w:pStyle w:val="ListParagraph"/>
        <w:numPr>
          <w:ilvl w:val="0"/>
          <w:numId w:val="6"/>
        </w:numPr>
        <w:ind w:firstLineChars="0"/>
        <w:rPr>
          <w:lang w:eastAsia="zh-CN"/>
        </w:rPr>
      </w:pPr>
      <w:r w:rsidRPr="00B34750">
        <w:rPr>
          <w:lang w:eastAsia="zh-CN"/>
        </w:rPr>
        <w:t>3GPP R</w:t>
      </w:r>
      <w:r>
        <w:rPr>
          <w:lang w:eastAsia="zh-CN"/>
        </w:rPr>
        <w:t xml:space="preserve">AN1#103e Chairman’s Notes, Oct. </w:t>
      </w:r>
      <w:r w:rsidRPr="00B34750">
        <w:rPr>
          <w:lang w:eastAsia="zh-CN"/>
        </w:rPr>
        <w:t>2</w:t>
      </w:r>
      <w:r>
        <w:rPr>
          <w:lang w:eastAsia="zh-CN"/>
        </w:rPr>
        <w:t>6th</w:t>
      </w:r>
      <w:r w:rsidRPr="00B34750">
        <w:rPr>
          <w:lang w:eastAsia="zh-CN"/>
        </w:rPr>
        <w:t xml:space="preserve"> </w:t>
      </w:r>
      <w:r>
        <w:rPr>
          <w:lang w:eastAsia="zh-CN"/>
        </w:rPr>
        <w:t>-</w:t>
      </w:r>
      <w:r w:rsidRPr="00B34750">
        <w:rPr>
          <w:lang w:eastAsia="zh-CN"/>
        </w:rPr>
        <w:t xml:space="preserve"> </w:t>
      </w:r>
      <w:r>
        <w:rPr>
          <w:lang w:eastAsia="zh-CN"/>
        </w:rPr>
        <w:t>Nov. 13th, 2020</w:t>
      </w:r>
      <w:r w:rsidRPr="00B34750">
        <w:rPr>
          <w:lang w:eastAsia="zh-CN"/>
        </w:rPr>
        <w:t>.</w:t>
      </w:r>
    </w:p>
    <w:p w14:paraId="139CB694" w14:textId="75796A89" w:rsidR="00B34750" w:rsidRPr="00B34750" w:rsidRDefault="00B34750" w:rsidP="00B34750">
      <w:pPr>
        <w:pStyle w:val="ListParagraph"/>
        <w:numPr>
          <w:ilvl w:val="0"/>
          <w:numId w:val="6"/>
        </w:numPr>
        <w:ind w:firstLineChars="0"/>
        <w:rPr>
          <w:lang w:eastAsia="zh-CN"/>
        </w:rPr>
      </w:pPr>
      <w:r w:rsidRPr="00B34750">
        <w:rPr>
          <w:lang w:eastAsia="zh-CN"/>
        </w:rPr>
        <w:t>3GPP R</w:t>
      </w:r>
      <w:r w:rsidR="00632727">
        <w:rPr>
          <w:lang w:eastAsia="zh-CN"/>
        </w:rPr>
        <w:t xml:space="preserve">AN1#104e Chairman’s Notes, Jan. </w:t>
      </w:r>
      <w:r w:rsidRPr="00B34750">
        <w:rPr>
          <w:lang w:eastAsia="zh-CN"/>
        </w:rPr>
        <w:t>2</w:t>
      </w:r>
      <w:r w:rsidR="00632727">
        <w:rPr>
          <w:lang w:eastAsia="zh-CN"/>
        </w:rPr>
        <w:t>5th</w:t>
      </w:r>
      <w:r w:rsidRPr="00B34750">
        <w:rPr>
          <w:lang w:eastAsia="zh-CN"/>
        </w:rPr>
        <w:t xml:space="preserve"> </w:t>
      </w:r>
      <w:r w:rsidR="00632727">
        <w:rPr>
          <w:lang w:eastAsia="zh-CN"/>
        </w:rPr>
        <w:t>–</w:t>
      </w:r>
      <w:r w:rsidRPr="00B34750">
        <w:rPr>
          <w:lang w:eastAsia="zh-CN"/>
        </w:rPr>
        <w:t xml:space="preserve"> </w:t>
      </w:r>
      <w:r w:rsidR="00632727">
        <w:rPr>
          <w:lang w:eastAsia="zh-CN"/>
        </w:rPr>
        <w:t>Feb. 5th</w:t>
      </w:r>
      <w:r w:rsidRPr="00B34750">
        <w:rPr>
          <w:lang w:eastAsia="zh-CN"/>
        </w:rPr>
        <w:t>, 2021.</w:t>
      </w:r>
    </w:p>
    <w:p w14:paraId="15DA7F59" w14:textId="228D2996" w:rsidR="00226C5A" w:rsidRPr="009E1225" w:rsidRDefault="00226C5A" w:rsidP="00226C5A">
      <w:pPr>
        <w:pStyle w:val="ListParagraph"/>
        <w:numPr>
          <w:ilvl w:val="0"/>
          <w:numId w:val="6"/>
        </w:numPr>
        <w:ind w:firstLineChars="0"/>
        <w:rPr>
          <w:lang w:eastAsia="zh-CN"/>
        </w:rPr>
      </w:pPr>
      <w:r w:rsidRPr="009E1225">
        <w:rPr>
          <w:lang w:eastAsia="zh-CN"/>
        </w:rPr>
        <w:t>RP-210</w:t>
      </w:r>
      <w:r>
        <w:rPr>
          <w:lang w:eastAsia="zh-CN"/>
        </w:rPr>
        <w:t>2460</w:t>
      </w:r>
      <w:r w:rsidRPr="009E1225">
        <w:rPr>
          <w:lang w:eastAsia="zh-CN"/>
        </w:rPr>
        <w:t xml:space="preserve">, </w:t>
      </w:r>
      <w:r w:rsidRPr="00226C5A">
        <w:rPr>
          <w:lang w:eastAsia="zh-CN"/>
        </w:rPr>
        <w:t>Discussion on aspects related to reduced maximum UE bandwidth</w:t>
      </w:r>
      <w:r w:rsidRPr="009E1225">
        <w:rPr>
          <w:lang w:eastAsia="zh-CN"/>
        </w:rPr>
        <w:t xml:space="preserve">, </w:t>
      </w:r>
      <w:r>
        <w:rPr>
          <w:lang w:eastAsia="zh-CN"/>
        </w:rPr>
        <w:t>Spreadtrum</w:t>
      </w:r>
      <w:r w:rsidRPr="009E1225">
        <w:rPr>
          <w:lang w:eastAsia="zh-CN"/>
        </w:rPr>
        <w:t xml:space="preserve">, </w:t>
      </w:r>
      <w:r>
        <w:rPr>
          <w:lang w:eastAsia="zh-CN"/>
        </w:rPr>
        <w:t xml:space="preserve">RAN1#104b-e, </w:t>
      </w:r>
      <w:r w:rsidRPr="00226C5A">
        <w:rPr>
          <w:lang w:eastAsia="zh-CN"/>
        </w:rPr>
        <w:t>April 12th – 20th, 2021</w:t>
      </w:r>
    </w:p>
    <w:p w14:paraId="6491073D" w14:textId="3DE9E795" w:rsidR="00B44AE8" w:rsidRDefault="00B44AE8" w:rsidP="00BD40FC">
      <w:pPr>
        <w:rPr>
          <w:lang w:eastAsia="zh-CN"/>
        </w:rPr>
      </w:pPr>
    </w:p>
    <w:sectPr w:rsidR="00B44A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C64C4" w14:textId="77777777" w:rsidR="00345D1A" w:rsidRDefault="00345D1A">
      <w:r>
        <w:separator/>
      </w:r>
    </w:p>
  </w:endnote>
  <w:endnote w:type="continuationSeparator" w:id="0">
    <w:p w14:paraId="61A9FD49" w14:textId="77777777" w:rsidR="00345D1A" w:rsidRDefault="00345D1A">
      <w:r>
        <w:continuationSeparator/>
      </w:r>
    </w:p>
  </w:endnote>
  <w:endnote w:type="continuationNotice" w:id="1">
    <w:p w14:paraId="6C437EDC" w14:textId="77777777" w:rsidR="00345D1A" w:rsidRDefault="00345D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FBE4A" w14:textId="77777777" w:rsidR="00345D1A" w:rsidRDefault="00345D1A">
      <w:r>
        <w:separator/>
      </w:r>
    </w:p>
  </w:footnote>
  <w:footnote w:type="continuationSeparator" w:id="0">
    <w:p w14:paraId="553990E1" w14:textId="77777777" w:rsidR="00345D1A" w:rsidRDefault="00345D1A">
      <w:r>
        <w:continuationSeparator/>
      </w:r>
    </w:p>
  </w:footnote>
  <w:footnote w:type="continuationNotice" w:id="1">
    <w:p w14:paraId="40D03D03" w14:textId="77777777" w:rsidR="00345D1A" w:rsidRDefault="00345D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5" w15:restartNumberingAfterBreak="0">
    <w:nsid w:val="6C8202B9"/>
    <w:multiLevelType w:val="hybridMultilevel"/>
    <w:tmpl w:val="35127C1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592E2B"/>
    <w:multiLevelType w:val="hybridMultilevel"/>
    <w:tmpl w:val="B89857EC"/>
    <w:lvl w:ilvl="0" w:tplc="C6ECD52C">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17"/>
  </w:num>
  <w:num w:numId="4">
    <w:abstractNumId w:val="18"/>
  </w:num>
  <w:num w:numId="5">
    <w:abstractNumId w:val="12"/>
  </w:num>
  <w:num w:numId="6">
    <w:abstractNumId w:val="3"/>
  </w:num>
  <w:num w:numId="7">
    <w:abstractNumId w:val="8"/>
  </w:num>
  <w:num w:numId="8">
    <w:abstractNumId w:val="19"/>
  </w:num>
  <w:num w:numId="9">
    <w:abstractNumId w:val="0"/>
  </w:num>
  <w:num w:numId="10">
    <w:abstractNumId w:val="9"/>
  </w:num>
  <w:num w:numId="11">
    <w:abstractNumId w:val="1"/>
  </w:num>
  <w:num w:numId="12">
    <w:abstractNumId w:val="13"/>
  </w:num>
  <w:num w:numId="13">
    <w:abstractNumId w:val="7"/>
  </w:num>
  <w:num w:numId="14">
    <w:abstractNumId w:val="14"/>
  </w:num>
  <w:num w:numId="15">
    <w:abstractNumId w:val="10"/>
  </w:num>
  <w:num w:numId="16">
    <w:abstractNumId w:val="2"/>
  </w:num>
  <w:num w:numId="17">
    <w:abstractNumId w:val="6"/>
  </w:num>
  <w:num w:numId="18">
    <w:abstractNumId w:val="11"/>
  </w:num>
  <w:num w:numId="19">
    <w:abstractNumId w:val="4"/>
  </w:num>
  <w:num w:numId="20">
    <w:abstractNumId w:val="15"/>
  </w:num>
  <w:num w:numId="21">
    <w:abstractNumId w:val="4"/>
  </w:num>
  <w:num w:numId="22">
    <w:abstractNumId w:val="16"/>
  </w:num>
  <w:num w:numId="23">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1C7"/>
    <w:rsid w:val="000027CE"/>
    <w:rsid w:val="00002893"/>
    <w:rsid w:val="00002D09"/>
    <w:rsid w:val="0000307F"/>
    <w:rsid w:val="000032F4"/>
    <w:rsid w:val="000033A3"/>
    <w:rsid w:val="00003410"/>
    <w:rsid w:val="000035A8"/>
    <w:rsid w:val="00003605"/>
    <w:rsid w:val="00003776"/>
    <w:rsid w:val="0000391A"/>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6FEE"/>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03"/>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0BB"/>
    <w:rsid w:val="000415FA"/>
    <w:rsid w:val="000417D1"/>
    <w:rsid w:val="000419E8"/>
    <w:rsid w:val="00041AD2"/>
    <w:rsid w:val="00041C57"/>
    <w:rsid w:val="0004261C"/>
    <w:rsid w:val="0004288D"/>
    <w:rsid w:val="00042C24"/>
    <w:rsid w:val="00042E7A"/>
    <w:rsid w:val="0004317A"/>
    <w:rsid w:val="000433F0"/>
    <w:rsid w:val="000434B7"/>
    <w:rsid w:val="000435E4"/>
    <w:rsid w:val="00043F26"/>
    <w:rsid w:val="0004404D"/>
    <w:rsid w:val="00044126"/>
    <w:rsid w:val="0004420D"/>
    <w:rsid w:val="0004438E"/>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510"/>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DB1"/>
    <w:rsid w:val="00092FE1"/>
    <w:rsid w:val="00093697"/>
    <w:rsid w:val="00093CE5"/>
    <w:rsid w:val="00093D42"/>
    <w:rsid w:val="00093D52"/>
    <w:rsid w:val="00093E01"/>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80"/>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3C3D"/>
    <w:rsid w:val="000F467C"/>
    <w:rsid w:val="000F4808"/>
    <w:rsid w:val="000F49E0"/>
    <w:rsid w:val="000F52E2"/>
    <w:rsid w:val="000F52EF"/>
    <w:rsid w:val="000F5575"/>
    <w:rsid w:val="000F5EFE"/>
    <w:rsid w:val="000F6581"/>
    <w:rsid w:val="000F6644"/>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260"/>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066"/>
    <w:rsid w:val="001B42F6"/>
    <w:rsid w:val="001B4452"/>
    <w:rsid w:val="001B466C"/>
    <w:rsid w:val="001B4945"/>
    <w:rsid w:val="001B4BCE"/>
    <w:rsid w:val="001B4DF4"/>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3FF7"/>
    <w:rsid w:val="001C4067"/>
    <w:rsid w:val="001C40F9"/>
    <w:rsid w:val="001C42F2"/>
    <w:rsid w:val="001C458B"/>
    <w:rsid w:val="001C4602"/>
    <w:rsid w:val="001C4C56"/>
    <w:rsid w:val="001C4E83"/>
    <w:rsid w:val="001C4F73"/>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280"/>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8B"/>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600F"/>
    <w:rsid w:val="00206B56"/>
    <w:rsid w:val="00206E2F"/>
    <w:rsid w:val="00206EC7"/>
    <w:rsid w:val="002070FB"/>
    <w:rsid w:val="00207479"/>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8DA"/>
    <w:rsid w:val="00212CB6"/>
    <w:rsid w:val="00212E37"/>
    <w:rsid w:val="00213281"/>
    <w:rsid w:val="00213CC4"/>
    <w:rsid w:val="002140FF"/>
    <w:rsid w:val="0021421D"/>
    <w:rsid w:val="002147FA"/>
    <w:rsid w:val="00214D5F"/>
    <w:rsid w:val="00214DAF"/>
    <w:rsid w:val="002154D2"/>
    <w:rsid w:val="002155E6"/>
    <w:rsid w:val="00216194"/>
    <w:rsid w:val="0021643B"/>
    <w:rsid w:val="002172F4"/>
    <w:rsid w:val="0021753A"/>
    <w:rsid w:val="00217B99"/>
    <w:rsid w:val="00217C98"/>
    <w:rsid w:val="00217D6F"/>
    <w:rsid w:val="00217F39"/>
    <w:rsid w:val="00220575"/>
    <w:rsid w:val="00220576"/>
    <w:rsid w:val="00220894"/>
    <w:rsid w:val="002217F6"/>
    <w:rsid w:val="002218BD"/>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C5A"/>
    <w:rsid w:val="00226E88"/>
    <w:rsid w:val="00226F57"/>
    <w:rsid w:val="00227532"/>
    <w:rsid w:val="002278CA"/>
    <w:rsid w:val="00227D4F"/>
    <w:rsid w:val="00230A14"/>
    <w:rsid w:val="00230B47"/>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A5E"/>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76"/>
    <w:rsid w:val="00275566"/>
    <w:rsid w:val="002756EA"/>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6AC"/>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B2E"/>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D1A"/>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7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134"/>
    <w:rsid w:val="003802C4"/>
    <w:rsid w:val="003802DC"/>
    <w:rsid w:val="00380356"/>
    <w:rsid w:val="0038064C"/>
    <w:rsid w:val="003809B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8F2"/>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9CE"/>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92A"/>
    <w:rsid w:val="00455D7F"/>
    <w:rsid w:val="00455F1C"/>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CC3"/>
    <w:rsid w:val="00460CF4"/>
    <w:rsid w:val="00460D5D"/>
    <w:rsid w:val="00460D89"/>
    <w:rsid w:val="00460D97"/>
    <w:rsid w:val="00460DFD"/>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0"/>
    <w:rsid w:val="00482ED7"/>
    <w:rsid w:val="00483A12"/>
    <w:rsid w:val="00483BA2"/>
    <w:rsid w:val="00483DAA"/>
    <w:rsid w:val="00484A77"/>
    <w:rsid w:val="00485334"/>
    <w:rsid w:val="0048540F"/>
    <w:rsid w:val="00485970"/>
    <w:rsid w:val="00485C0D"/>
    <w:rsid w:val="00485C2F"/>
    <w:rsid w:val="00485D5B"/>
    <w:rsid w:val="00486575"/>
    <w:rsid w:val="0048662B"/>
    <w:rsid w:val="004866D0"/>
    <w:rsid w:val="004866F9"/>
    <w:rsid w:val="004867F7"/>
    <w:rsid w:val="00486B65"/>
    <w:rsid w:val="00486C1A"/>
    <w:rsid w:val="00486F13"/>
    <w:rsid w:val="00487054"/>
    <w:rsid w:val="00487264"/>
    <w:rsid w:val="0048780E"/>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590"/>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490"/>
    <w:rsid w:val="004A555E"/>
    <w:rsid w:val="004A5647"/>
    <w:rsid w:val="004A565E"/>
    <w:rsid w:val="004A5DF3"/>
    <w:rsid w:val="004A5EB4"/>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A18"/>
    <w:rsid w:val="004F3FC2"/>
    <w:rsid w:val="004F407E"/>
    <w:rsid w:val="004F40EF"/>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7A3"/>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43A"/>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8EF"/>
    <w:rsid w:val="00542933"/>
    <w:rsid w:val="00542B58"/>
    <w:rsid w:val="005433B3"/>
    <w:rsid w:val="0054343A"/>
    <w:rsid w:val="005435E7"/>
    <w:rsid w:val="00543974"/>
    <w:rsid w:val="00543BAD"/>
    <w:rsid w:val="00543D16"/>
    <w:rsid w:val="00543EBF"/>
    <w:rsid w:val="00543EEE"/>
    <w:rsid w:val="00543F16"/>
    <w:rsid w:val="00544ABA"/>
    <w:rsid w:val="00544B73"/>
    <w:rsid w:val="00544C99"/>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30A0"/>
    <w:rsid w:val="00553127"/>
    <w:rsid w:val="005537D5"/>
    <w:rsid w:val="005537E0"/>
    <w:rsid w:val="0055426B"/>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BC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1D51"/>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EC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5ED6"/>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C00A0"/>
    <w:rsid w:val="005C019A"/>
    <w:rsid w:val="005C02A8"/>
    <w:rsid w:val="005C0EB9"/>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502"/>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2F"/>
    <w:rsid w:val="00626AD1"/>
    <w:rsid w:val="006272EB"/>
    <w:rsid w:val="00627551"/>
    <w:rsid w:val="00627880"/>
    <w:rsid w:val="0062799A"/>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50D"/>
    <w:rsid w:val="00632727"/>
    <w:rsid w:val="00632A2C"/>
    <w:rsid w:val="0063327B"/>
    <w:rsid w:val="00633298"/>
    <w:rsid w:val="006332D1"/>
    <w:rsid w:val="006335D8"/>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29B"/>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0E4D"/>
    <w:rsid w:val="00681211"/>
    <w:rsid w:val="00681B36"/>
    <w:rsid w:val="006827B4"/>
    <w:rsid w:val="00682E14"/>
    <w:rsid w:val="00682FBE"/>
    <w:rsid w:val="006836AA"/>
    <w:rsid w:val="006837AB"/>
    <w:rsid w:val="006838CC"/>
    <w:rsid w:val="00683B2D"/>
    <w:rsid w:val="00683DF8"/>
    <w:rsid w:val="0068436C"/>
    <w:rsid w:val="006843F3"/>
    <w:rsid w:val="0068545E"/>
    <w:rsid w:val="006855F8"/>
    <w:rsid w:val="006858F2"/>
    <w:rsid w:val="00685931"/>
    <w:rsid w:val="00685F68"/>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35D"/>
    <w:rsid w:val="006966C3"/>
    <w:rsid w:val="00696A3B"/>
    <w:rsid w:val="00696B16"/>
    <w:rsid w:val="00696C5C"/>
    <w:rsid w:val="00696C9A"/>
    <w:rsid w:val="00696DD4"/>
    <w:rsid w:val="00697369"/>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33E5"/>
    <w:rsid w:val="006B3CB9"/>
    <w:rsid w:val="006B4251"/>
    <w:rsid w:val="006B4431"/>
    <w:rsid w:val="006B4761"/>
    <w:rsid w:val="006B4AF0"/>
    <w:rsid w:val="006B555A"/>
    <w:rsid w:val="006B58B9"/>
    <w:rsid w:val="006B5BEF"/>
    <w:rsid w:val="006B600A"/>
    <w:rsid w:val="006B6180"/>
    <w:rsid w:val="006B626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3A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6C99"/>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658"/>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2B5"/>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659"/>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E45"/>
    <w:rsid w:val="00757F6F"/>
    <w:rsid w:val="0076010F"/>
    <w:rsid w:val="0076041A"/>
    <w:rsid w:val="0076063D"/>
    <w:rsid w:val="00760975"/>
    <w:rsid w:val="00760C3F"/>
    <w:rsid w:val="0076167F"/>
    <w:rsid w:val="007616C8"/>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BDF"/>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8B2"/>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173"/>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D88"/>
    <w:rsid w:val="007F501E"/>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1DEB"/>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4C6"/>
    <w:rsid w:val="0084187D"/>
    <w:rsid w:val="008418C9"/>
    <w:rsid w:val="00841BE9"/>
    <w:rsid w:val="00841C9C"/>
    <w:rsid w:val="00841CD2"/>
    <w:rsid w:val="00841D38"/>
    <w:rsid w:val="008429E7"/>
    <w:rsid w:val="00842B77"/>
    <w:rsid w:val="00842E70"/>
    <w:rsid w:val="0084309F"/>
    <w:rsid w:val="008436CC"/>
    <w:rsid w:val="00843795"/>
    <w:rsid w:val="00843BF5"/>
    <w:rsid w:val="00843D9F"/>
    <w:rsid w:val="008444E0"/>
    <w:rsid w:val="008449F9"/>
    <w:rsid w:val="00844A92"/>
    <w:rsid w:val="00844B21"/>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4F10"/>
    <w:rsid w:val="00855914"/>
    <w:rsid w:val="00855CAD"/>
    <w:rsid w:val="00855CDE"/>
    <w:rsid w:val="00855F34"/>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8C5"/>
    <w:rsid w:val="00875EA3"/>
    <w:rsid w:val="00875F73"/>
    <w:rsid w:val="0087601F"/>
    <w:rsid w:val="00876257"/>
    <w:rsid w:val="00876537"/>
    <w:rsid w:val="00876540"/>
    <w:rsid w:val="0087660C"/>
    <w:rsid w:val="00876760"/>
    <w:rsid w:val="00876B33"/>
    <w:rsid w:val="00876B6A"/>
    <w:rsid w:val="00876F9E"/>
    <w:rsid w:val="008778F9"/>
    <w:rsid w:val="00877A34"/>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102"/>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4CB"/>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88C"/>
    <w:rsid w:val="008C394F"/>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3C3"/>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1D00"/>
    <w:rsid w:val="008F226C"/>
    <w:rsid w:val="008F23D8"/>
    <w:rsid w:val="008F278D"/>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2CA5"/>
    <w:rsid w:val="0090325F"/>
    <w:rsid w:val="00903336"/>
    <w:rsid w:val="009037F3"/>
    <w:rsid w:val="00903802"/>
    <w:rsid w:val="009044A6"/>
    <w:rsid w:val="009044FE"/>
    <w:rsid w:val="00904587"/>
    <w:rsid w:val="00904735"/>
    <w:rsid w:val="00904AF3"/>
    <w:rsid w:val="00904D38"/>
    <w:rsid w:val="009050A2"/>
    <w:rsid w:val="0090531A"/>
    <w:rsid w:val="00905591"/>
    <w:rsid w:val="00905779"/>
    <w:rsid w:val="00905F19"/>
    <w:rsid w:val="009065D4"/>
    <w:rsid w:val="00906683"/>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BE7"/>
    <w:rsid w:val="0092031C"/>
    <w:rsid w:val="009204C5"/>
    <w:rsid w:val="009207AA"/>
    <w:rsid w:val="00920A2E"/>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0D9"/>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70"/>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7C9"/>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C7E4F"/>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C8D"/>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225"/>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760"/>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4D9"/>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537"/>
    <w:rsid w:val="00A04616"/>
    <w:rsid w:val="00A04634"/>
    <w:rsid w:val="00A04802"/>
    <w:rsid w:val="00A0498A"/>
    <w:rsid w:val="00A04C0A"/>
    <w:rsid w:val="00A04DE8"/>
    <w:rsid w:val="00A04E7E"/>
    <w:rsid w:val="00A04F90"/>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0C08"/>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59"/>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5E9"/>
    <w:rsid w:val="00A63BF3"/>
    <w:rsid w:val="00A63EFD"/>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024"/>
    <w:rsid w:val="00A811EA"/>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22FA"/>
    <w:rsid w:val="00AC2502"/>
    <w:rsid w:val="00AC268E"/>
    <w:rsid w:val="00AC2EC3"/>
    <w:rsid w:val="00AC32FC"/>
    <w:rsid w:val="00AC3309"/>
    <w:rsid w:val="00AC3639"/>
    <w:rsid w:val="00AC3C01"/>
    <w:rsid w:val="00AC3E0A"/>
    <w:rsid w:val="00AC419C"/>
    <w:rsid w:val="00AC42BF"/>
    <w:rsid w:val="00AC4903"/>
    <w:rsid w:val="00AC4A22"/>
    <w:rsid w:val="00AC5243"/>
    <w:rsid w:val="00AC5548"/>
    <w:rsid w:val="00AC61DB"/>
    <w:rsid w:val="00AC63D7"/>
    <w:rsid w:val="00AC680E"/>
    <w:rsid w:val="00AC6B0F"/>
    <w:rsid w:val="00AC71DB"/>
    <w:rsid w:val="00AC74DA"/>
    <w:rsid w:val="00AC779E"/>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AB"/>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4CF"/>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750"/>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3F9E"/>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04"/>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5D9B"/>
    <w:rsid w:val="00C169AF"/>
    <w:rsid w:val="00C16C30"/>
    <w:rsid w:val="00C16E7C"/>
    <w:rsid w:val="00C17191"/>
    <w:rsid w:val="00C172C6"/>
    <w:rsid w:val="00C1739C"/>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0C7"/>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1F"/>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8C"/>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A58"/>
    <w:rsid w:val="00CD4DF0"/>
    <w:rsid w:val="00CD5512"/>
    <w:rsid w:val="00CD555C"/>
    <w:rsid w:val="00CD5DC2"/>
    <w:rsid w:val="00CD6E3D"/>
    <w:rsid w:val="00CD71AB"/>
    <w:rsid w:val="00CD746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8A4"/>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18A"/>
    <w:rsid w:val="00D12293"/>
    <w:rsid w:val="00D12365"/>
    <w:rsid w:val="00D1241E"/>
    <w:rsid w:val="00D127AD"/>
    <w:rsid w:val="00D12F30"/>
    <w:rsid w:val="00D1398F"/>
    <w:rsid w:val="00D13D26"/>
    <w:rsid w:val="00D13F9F"/>
    <w:rsid w:val="00D14236"/>
    <w:rsid w:val="00D14553"/>
    <w:rsid w:val="00D14771"/>
    <w:rsid w:val="00D14784"/>
    <w:rsid w:val="00D14AB3"/>
    <w:rsid w:val="00D14B65"/>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560"/>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263"/>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823"/>
    <w:rsid w:val="00D8582E"/>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619"/>
    <w:rsid w:val="00E02838"/>
    <w:rsid w:val="00E03016"/>
    <w:rsid w:val="00E0305E"/>
    <w:rsid w:val="00E033D3"/>
    <w:rsid w:val="00E033F9"/>
    <w:rsid w:val="00E033FB"/>
    <w:rsid w:val="00E038FC"/>
    <w:rsid w:val="00E03E8A"/>
    <w:rsid w:val="00E04022"/>
    <w:rsid w:val="00E040A1"/>
    <w:rsid w:val="00E054E0"/>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3F0"/>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B7E5D"/>
    <w:rsid w:val="00EC00F6"/>
    <w:rsid w:val="00EC0783"/>
    <w:rsid w:val="00EC08C3"/>
    <w:rsid w:val="00EC100B"/>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DC0"/>
    <w:rsid w:val="00ED5FE4"/>
    <w:rsid w:val="00ED60A9"/>
    <w:rsid w:val="00ED6CFA"/>
    <w:rsid w:val="00ED6E59"/>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4C4"/>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7FD"/>
    <w:rsid w:val="00F45F46"/>
    <w:rsid w:val="00F45F9C"/>
    <w:rsid w:val="00F47498"/>
    <w:rsid w:val="00F5020C"/>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3FDE"/>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6BDE"/>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0B2"/>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1A3"/>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numPr>
        <w:ilvl w:val="1"/>
        <w:numId w:val="5"/>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282B4-E9D0-4598-8819-1E97F11D27E6}">
  <ds:schemaRefs>
    <ds:schemaRef ds:uri="http://schemas.openxmlformats.org/officeDocument/2006/bibliography"/>
  </ds:schemaRefs>
</ds:datastoreItem>
</file>

<file path=customXml/itemProps2.xml><?xml version="1.0" encoding="utf-8"?>
<ds:datastoreItem xmlns:ds="http://schemas.openxmlformats.org/officeDocument/2006/customXml" ds:itemID="{002AF860-5FBB-43F7-90AF-423A3604F27B}">
  <ds:schemaRefs>
    <ds:schemaRef ds:uri="http://schemas.openxmlformats.org/officeDocument/2006/bibliography"/>
  </ds:schemaRefs>
</ds:datastoreItem>
</file>

<file path=customXml/itemProps3.xml><?xml version="1.0" encoding="utf-8"?>
<ds:datastoreItem xmlns:ds="http://schemas.openxmlformats.org/officeDocument/2006/customXml" ds:itemID="{743AD17C-7B64-4541-8B1B-B495D2FFA1EB}">
  <ds:schemaRefs>
    <ds:schemaRef ds:uri="http://schemas.openxmlformats.org/officeDocument/2006/bibliography"/>
  </ds:schemaRefs>
</ds:datastoreItem>
</file>

<file path=customXml/itemProps4.xml><?xml version="1.0" encoding="utf-8"?>
<ds:datastoreItem xmlns:ds="http://schemas.openxmlformats.org/officeDocument/2006/customXml" ds:itemID="{406723EA-8E97-4B51-A87C-6A379306A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1411</Words>
  <Characters>8045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2021-04-07T03:41:00Z</dcterms:created>
  <dcterms:modified xsi:type="dcterms:W3CDTF">2021-04-07T03:41:00Z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